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2" w:type="dxa"/>
        <w:tblLayout w:type="fixed"/>
        <w:tblLook w:val="0000" w:firstRow="0" w:lastRow="0" w:firstColumn="0" w:lastColumn="0" w:noHBand="0" w:noVBand="0"/>
      </w:tblPr>
      <w:tblGrid>
        <w:gridCol w:w="6840"/>
        <w:gridCol w:w="4410"/>
      </w:tblGrid>
      <w:tr w:rsidR="004768D1" w14:paraId="2C5C2BE3" w14:textId="77777777">
        <w:tc>
          <w:tcPr>
            <w:tcW w:w="6840" w:type="dxa"/>
          </w:tcPr>
          <w:p w14:paraId="2C5C2BE1" w14:textId="77777777" w:rsidR="004768D1" w:rsidRDefault="004768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Undergraduate Programs Office and Advising Center</w:t>
            </w:r>
          </w:p>
        </w:tc>
        <w:tc>
          <w:tcPr>
            <w:tcW w:w="4410" w:type="dxa"/>
          </w:tcPr>
          <w:p w14:paraId="2C5C2BE2" w14:textId="77777777" w:rsidR="004768D1" w:rsidRDefault="004768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RBB 328</w:t>
            </w:r>
          </w:p>
        </w:tc>
      </w:tr>
      <w:tr w:rsidR="004768D1" w14:paraId="2C5C2BE6" w14:textId="77777777">
        <w:tc>
          <w:tcPr>
            <w:tcW w:w="6840" w:type="dxa"/>
          </w:tcPr>
          <w:p w14:paraId="2C5C2BE4" w14:textId="77777777" w:rsidR="004768D1" w:rsidRDefault="004768D1">
            <w:pPr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20"/>
                  </w:rPr>
                  <w:t>College</w:t>
                </w:r>
              </w:smartTag>
              <w:r>
                <w:rPr>
                  <w:rFonts w:ascii="Arial" w:hAnsi="Arial"/>
                  <w:sz w:val="20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sz w:val="20"/>
                  </w:rPr>
                  <w:t>Business</w:t>
                </w:r>
              </w:smartTag>
            </w:smartTag>
          </w:p>
        </w:tc>
        <w:tc>
          <w:tcPr>
            <w:tcW w:w="4410" w:type="dxa"/>
          </w:tcPr>
          <w:p w14:paraId="2C5C2BE5" w14:textId="77777777" w:rsidR="004768D1" w:rsidRDefault="004768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Phone:</w:t>
            </w:r>
            <w:r>
              <w:rPr>
                <w:rFonts w:ascii="Arial" w:hAnsi="Arial"/>
                <w:sz w:val="20"/>
              </w:rPr>
              <w:t xml:space="preserve"> 850-644-3892</w:t>
            </w:r>
          </w:p>
        </w:tc>
      </w:tr>
      <w:tr w:rsidR="004768D1" w14:paraId="2C5C2BE9" w14:textId="77777777">
        <w:tc>
          <w:tcPr>
            <w:tcW w:w="6840" w:type="dxa"/>
          </w:tcPr>
          <w:p w14:paraId="2C5C2BE7" w14:textId="77777777" w:rsidR="004768D1" w:rsidRDefault="004768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Florida State University</w:t>
            </w:r>
          </w:p>
        </w:tc>
        <w:tc>
          <w:tcPr>
            <w:tcW w:w="4410" w:type="dxa"/>
          </w:tcPr>
          <w:p w14:paraId="2C5C2BE8" w14:textId="77777777" w:rsidR="004768D1" w:rsidRDefault="004768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FAX:</w:t>
            </w:r>
            <w:r>
              <w:rPr>
                <w:rFonts w:ascii="Arial" w:hAnsi="Arial"/>
                <w:sz w:val="20"/>
              </w:rPr>
              <w:t xml:space="preserve"> 850-644-7332</w:t>
            </w:r>
          </w:p>
        </w:tc>
      </w:tr>
      <w:tr w:rsidR="004768D1" w14:paraId="2C5C2BEE" w14:textId="77777777">
        <w:tc>
          <w:tcPr>
            <w:tcW w:w="6840" w:type="dxa"/>
          </w:tcPr>
          <w:p w14:paraId="2C5C2BEA" w14:textId="77777777" w:rsidR="004E0A86" w:rsidRDefault="004E0A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 Office Box 3061110</w:t>
            </w:r>
          </w:p>
          <w:p w14:paraId="2C5C2BEB" w14:textId="77777777" w:rsidR="004768D1" w:rsidRDefault="004768D1" w:rsidP="00F25E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Tallahassee, FL 32306-1110</w:t>
            </w:r>
          </w:p>
        </w:tc>
        <w:tc>
          <w:tcPr>
            <w:tcW w:w="4410" w:type="dxa"/>
          </w:tcPr>
          <w:p w14:paraId="2C5C2BEC" w14:textId="77777777" w:rsidR="00F37E25" w:rsidRDefault="004768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E-mail:</w:t>
            </w:r>
            <w:r>
              <w:rPr>
                <w:rFonts w:ascii="Arial" w:hAnsi="Arial"/>
                <w:sz w:val="20"/>
              </w:rPr>
              <w:t xml:space="preserve"> </w:t>
            </w:r>
            <w:hyperlink r:id="rId9" w:history="1">
              <w:r w:rsidR="00F37E25" w:rsidRPr="005A626E">
                <w:rPr>
                  <w:rStyle w:val="Hyperlink"/>
                  <w:rFonts w:ascii="Arial" w:hAnsi="Arial"/>
                  <w:sz w:val="20"/>
                </w:rPr>
                <w:t>ugprog@business.fsu.edu</w:t>
              </w:r>
            </w:hyperlink>
          </w:p>
          <w:p w14:paraId="2C5C2BED" w14:textId="77777777" w:rsidR="00F37E25" w:rsidRDefault="004768D1" w:rsidP="00F37E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Website:</w:t>
            </w:r>
            <w:r>
              <w:rPr>
                <w:rFonts w:ascii="Arial" w:hAnsi="Arial"/>
                <w:sz w:val="20"/>
              </w:rPr>
              <w:t xml:space="preserve"> </w:t>
            </w:r>
            <w:hyperlink r:id="rId10" w:history="1">
              <w:r w:rsidR="00F37E25" w:rsidRPr="005A626E">
                <w:rPr>
                  <w:rStyle w:val="Hyperlink"/>
                  <w:rFonts w:ascii="Arial" w:hAnsi="Arial"/>
                  <w:sz w:val="20"/>
                </w:rPr>
                <w:t>http://business.fsu.edu/undergrad/</w:t>
              </w:r>
            </w:hyperlink>
          </w:p>
        </w:tc>
      </w:tr>
    </w:tbl>
    <w:p w14:paraId="2C5C2BEF" w14:textId="77777777" w:rsidR="005131C5" w:rsidRDefault="005131C5">
      <w:pPr>
        <w:jc w:val="center"/>
        <w:rPr>
          <w:rFonts w:ascii="Arial" w:hAnsi="Arial"/>
          <w:b/>
          <w:sz w:val="28"/>
        </w:rPr>
      </w:pPr>
    </w:p>
    <w:p w14:paraId="2C5C2BF0" w14:textId="77777777" w:rsidR="00BB0045" w:rsidRPr="00C2274A" w:rsidRDefault="00BB0045" w:rsidP="00C2274A">
      <w:pPr>
        <w:jc w:val="center"/>
        <w:rPr>
          <w:rFonts w:ascii="Arial" w:hAnsi="Arial"/>
          <w:b/>
          <w:szCs w:val="24"/>
        </w:rPr>
      </w:pPr>
      <w:r w:rsidRPr="00C2274A">
        <w:rPr>
          <w:rFonts w:ascii="Arial" w:hAnsi="Arial"/>
          <w:b/>
          <w:szCs w:val="24"/>
        </w:rPr>
        <w:t>B.S. DEGREE IN ACCOUNTING</w:t>
      </w:r>
    </w:p>
    <w:p w14:paraId="2C5C2BF1" w14:textId="77777777" w:rsidR="004768D1" w:rsidRPr="00C2274A" w:rsidRDefault="004768D1" w:rsidP="00C2274A">
      <w:pPr>
        <w:jc w:val="center"/>
        <w:rPr>
          <w:rFonts w:ascii="Arial" w:hAnsi="Arial"/>
          <w:b/>
          <w:szCs w:val="24"/>
        </w:rPr>
      </w:pPr>
      <w:r w:rsidRPr="00C2274A">
        <w:rPr>
          <w:rFonts w:ascii="Arial" w:hAnsi="Arial"/>
          <w:b/>
          <w:szCs w:val="24"/>
        </w:rPr>
        <w:t>REQUIREMENTS FOR</w:t>
      </w:r>
      <w:r w:rsidR="00BB0045" w:rsidRPr="00C2274A">
        <w:rPr>
          <w:rFonts w:ascii="Arial" w:hAnsi="Arial"/>
          <w:b/>
          <w:szCs w:val="24"/>
        </w:rPr>
        <w:t xml:space="preserve"> THE</w:t>
      </w:r>
      <w:r w:rsidRPr="00C2274A">
        <w:rPr>
          <w:rFonts w:ascii="Arial" w:hAnsi="Arial"/>
          <w:b/>
          <w:szCs w:val="24"/>
        </w:rPr>
        <w:t xml:space="preserve"> ACCOUNTING MAJOR</w:t>
      </w:r>
    </w:p>
    <w:p w14:paraId="2C5C2BF2" w14:textId="77777777" w:rsidR="005131C5" w:rsidRDefault="005131C5" w:rsidP="00C2274A">
      <w:pPr>
        <w:jc w:val="center"/>
        <w:rPr>
          <w:rFonts w:ascii="Arial" w:hAnsi="Arial"/>
          <w:b/>
          <w:sz w:val="20"/>
        </w:rPr>
      </w:pPr>
    </w:p>
    <w:p w14:paraId="2C5C2BF3" w14:textId="1F4AEE25" w:rsidR="004768D1" w:rsidRPr="00C2274A" w:rsidRDefault="003A5757" w:rsidP="00C2274A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202</w:t>
      </w:r>
      <w:r w:rsidR="00EA47C3">
        <w:rPr>
          <w:rFonts w:ascii="Arial" w:hAnsi="Arial"/>
          <w:b/>
          <w:szCs w:val="24"/>
        </w:rPr>
        <w:t>5</w:t>
      </w:r>
      <w:r>
        <w:rPr>
          <w:rFonts w:ascii="Arial" w:hAnsi="Arial"/>
          <w:b/>
          <w:szCs w:val="24"/>
        </w:rPr>
        <w:t>-202</w:t>
      </w:r>
      <w:r w:rsidR="00EA47C3">
        <w:rPr>
          <w:rFonts w:ascii="Arial" w:hAnsi="Arial"/>
          <w:b/>
          <w:szCs w:val="24"/>
        </w:rPr>
        <w:t>6</w:t>
      </w:r>
    </w:p>
    <w:p w14:paraId="2C5C2BF4" w14:textId="77777777" w:rsidR="004768D1" w:rsidRDefault="004768D1" w:rsidP="00947F73">
      <w:pPr>
        <w:ind w:right="-900"/>
        <w:rPr>
          <w:rFonts w:ascii="Arial" w:hAnsi="Arial"/>
          <w:b/>
          <w:sz w:val="20"/>
        </w:rPr>
      </w:pPr>
    </w:p>
    <w:p w14:paraId="2C5C2BF5" w14:textId="77777777" w:rsidR="00B75026" w:rsidRPr="00C2274A" w:rsidRDefault="00B75026" w:rsidP="00B75026">
      <w:pPr>
        <w:rPr>
          <w:rFonts w:ascii="Arial" w:hAnsi="Arial" w:cs="Arial"/>
          <w:b/>
          <w:sz w:val="18"/>
          <w:szCs w:val="18"/>
          <w:u w:val="single"/>
        </w:rPr>
      </w:pPr>
      <w:r w:rsidRPr="00C2274A">
        <w:rPr>
          <w:rFonts w:ascii="Arial" w:hAnsi="Arial" w:cs="Arial"/>
          <w:b/>
          <w:sz w:val="18"/>
          <w:szCs w:val="18"/>
          <w:u w:val="single"/>
        </w:rPr>
        <w:t>Admission Requirements for the Accounting Major:</w:t>
      </w:r>
    </w:p>
    <w:p w14:paraId="2C5C2BF6" w14:textId="61539E5C" w:rsidR="004768D1" w:rsidRPr="00C2274A" w:rsidRDefault="00AC7D65" w:rsidP="003E2426">
      <w:pPr>
        <w:rPr>
          <w:rFonts w:ascii="Arial" w:hAnsi="Arial" w:cs="Arial"/>
          <w:b/>
          <w:sz w:val="18"/>
          <w:szCs w:val="18"/>
        </w:rPr>
      </w:pPr>
      <w:r w:rsidRPr="00C2274A">
        <w:rPr>
          <w:rFonts w:ascii="Arial" w:hAnsi="Arial" w:cs="Arial"/>
          <w:sz w:val="18"/>
          <w:szCs w:val="18"/>
        </w:rPr>
        <w:t>To be admitted to the ma</w:t>
      </w:r>
      <w:r w:rsidR="00B75026" w:rsidRPr="00C2274A">
        <w:rPr>
          <w:rFonts w:ascii="Arial" w:hAnsi="Arial" w:cs="Arial"/>
          <w:sz w:val="18"/>
          <w:szCs w:val="18"/>
        </w:rPr>
        <w:t>jor, students must (1) have completed at least 52 semester hours, (2) have completed ACG 2021,</w:t>
      </w:r>
      <w:r w:rsidR="00507D59" w:rsidRPr="00C2274A">
        <w:rPr>
          <w:rFonts w:ascii="Arial" w:hAnsi="Arial" w:cs="Arial"/>
          <w:sz w:val="18"/>
          <w:szCs w:val="18"/>
        </w:rPr>
        <w:t xml:space="preserve"> ACG 2071,</w:t>
      </w:r>
      <w:r w:rsidR="007415FD">
        <w:rPr>
          <w:rFonts w:ascii="Arial" w:hAnsi="Arial" w:cs="Arial"/>
          <w:sz w:val="18"/>
          <w:szCs w:val="18"/>
        </w:rPr>
        <w:t xml:space="preserve"> </w:t>
      </w:r>
      <w:r w:rsidR="007415FD" w:rsidRPr="00C2274A">
        <w:rPr>
          <w:rFonts w:ascii="Arial" w:hAnsi="Arial" w:cs="Arial"/>
          <w:sz w:val="18"/>
          <w:szCs w:val="18"/>
        </w:rPr>
        <w:t>with a grade of “</w:t>
      </w:r>
      <w:r w:rsidR="007415FD">
        <w:rPr>
          <w:rFonts w:ascii="Arial" w:hAnsi="Arial" w:cs="Arial"/>
          <w:sz w:val="18"/>
          <w:szCs w:val="18"/>
        </w:rPr>
        <w:t>B</w:t>
      </w:r>
      <w:r w:rsidR="007415FD" w:rsidRPr="00C2274A">
        <w:rPr>
          <w:rFonts w:ascii="Arial" w:hAnsi="Arial" w:cs="Arial"/>
          <w:sz w:val="18"/>
          <w:szCs w:val="18"/>
        </w:rPr>
        <w:t>“</w:t>
      </w:r>
      <w:r w:rsidR="007415FD">
        <w:rPr>
          <w:rFonts w:ascii="Arial" w:hAnsi="Arial" w:cs="Arial"/>
          <w:sz w:val="18"/>
          <w:szCs w:val="18"/>
        </w:rPr>
        <w:t xml:space="preserve"> </w:t>
      </w:r>
      <w:r w:rsidR="007415FD" w:rsidRPr="00C2274A">
        <w:rPr>
          <w:rFonts w:ascii="Arial" w:hAnsi="Arial" w:cs="Arial"/>
          <w:sz w:val="18"/>
          <w:szCs w:val="18"/>
        </w:rPr>
        <w:t>or better</w:t>
      </w:r>
      <w:r w:rsidR="007415FD">
        <w:rPr>
          <w:rFonts w:ascii="Arial" w:hAnsi="Arial" w:cs="Arial"/>
          <w:sz w:val="18"/>
          <w:szCs w:val="18"/>
        </w:rPr>
        <w:t>,</w:t>
      </w:r>
      <w:r w:rsidR="00B75026" w:rsidRPr="00C2274A">
        <w:rPr>
          <w:rFonts w:ascii="Arial" w:hAnsi="Arial" w:cs="Arial"/>
          <w:sz w:val="18"/>
          <w:szCs w:val="18"/>
        </w:rPr>
        <w:t xml:space="preserve"> CGS 2100</w:t>
      </w:r>
      <w:r w:rsidR="00507D59" w:rsidRPr="00C2274A">
        <w:rPr>
          <w:rFonts w:ascii="Arial" w:hAnsi="Arial" w:cs="Arial"/>
          <w:sz w:val="18"/>
          <w:szCs w:val="18"/>
        </w:rPr>
        <w:t xml:space="preserve"> or CGS 2518</w:t>
      </w:r>
      <w:r w:rsidR="00B75026" w:rsidRPr="00C2274A">
        <w:rPr>
          <w:rFonts w:ascii="Arial" w:hAnsi="Arial" w:cs="Arial"/>
          <w:sz w:val="18"/>
          <w:szCs w:val="18"/>
        </w:rPr>
        <w:t>, ECO 2013, ECO 2023, MAC 2233, and STA 2023 with a grade of “C-</w:t>
      </w:r>
      <w:r w:rsidR="00507D59" w:rsidRPr="00C2274A">
        <w:rPr>
          <w:rFonts w:ascii="Arial" w:hAnsi="Arial" w:cs="Arial"/>
          <w:sz w:val="18"/>
          <w:szCs w:val="18"/>
        </w:rPr>
        <w:t>“</w:t>
      </w:r>
      <w:r w:rsidR="0017353D">
        <w:rPr>
          <w:rFonts w:ascii="Arial" w:hAnsi="Arial" w:cs="Arial"/>
          <w:sz w:val="18"/>
          <w:szCs w:val="18"/>
        </w:rPr>
        <w:t xml:space="preserve"> </w:t>
      </w:r>
      <w:r w:rsidR="00507D59" w:rsidRPr="00C2274A">
        <w:rPr>
          <w:rFonts w:ascii="Arial" w:hAnsi="Arial" w:cs="Arial"/>
          <w:sz w:val="18"/>
          <w:szCs w:val="18"/>
        </w:rPr>
        <w:t>or</w:t>
      </w:r>
      <w:r w:rsidR="00B75026" w:rsidRPr="00C2274A">
        <w:rPr>
          <w:rFonts w:ascii="Arial" w:hAnsi="Arial" w:cs="Arial"/>
          <w:sz w:val="18"/>
          <w:szCs w:val="18"/>
        </w:rPr>
        <w:t xml:space="preserve"> better in each course, and (3) have the required GPA </w:t>
      </w:r>
      <w:r w:rsidR="00147C69">
        <w:rPr>
          <w:rFonts w:ascii="Arial" w:hAnsi="Arial" w:cs="Arial"/>
          <w:sz w:val="18"/>
          <w:szCs w:val="18"/>
        </w:rPr>
        <w:t>in</w:t>
      </w:r>
      <w:r w:rsidR="00B75026" w:rsidRPr="00C2274A">
        <w:rPr>
          <w:rFonts w:ascii="Arial" w:hAnsi="Arial" w:cs="Arial"/>
          <w:sz w:val="18"/>
          <w:szCs w:val="18"/>
        </w:rPr>
        <w:t xml:space="preserve"> all </w:t>
      </w:r>
      <w:r w:rsidR="00147C69">
        <w:rPr>
          <w:rFonts w:ascii="Arial" w:hAnsi="Arial" w:cs="Arial"/>
          <w:sz w:val="18"/>
          <w:szCs w:val="18"/>
        </w:rPr>
        <w:t>prerequisite course attempts</w:t>
      </w:r>
      <w:r w:rsidR="00B75026" w:rsidRPr="00C2274A">
        <w:rPr>
          <w:rFonts w:ascii="Arial" w:hAnsi="Arial" w:cs="Arial"/>
          <w:sz w:val="18"/>
          <w:szCs w:val="18"/>
        </w:rPr>
        <w:t xml:space="preserve"> that is in effect at the time they enter the major</w:t>
      </w:r>
      <w:r w:rsidR="007415FD">
        <w:rPr>
          <w:rFonts w:ascii="Arial" w:hAnsi="Arial" w:cs="Arial"/>
          <w:sz w:val="18"/>
          <w:szCs w:val="18"/>
        </w:rPr>
        <w:t>.</w:t>
      </w:r>
      <w:r w:rsidR="0058526C" w:rsidRPr="00C2274A">
        <w:rPr>
          <w:rFonts w:ascii="Arial" w:hAnsi="Arial" w:cs="Arial"/>
          <w:sz w:val="18"/>
          <w:szCs w:val="18"/>
        </w:rPr>
        <w:t xml:space="preserve"> </w:t>
      </w:r>
      <w:r w:rsidR="00B75026" w:rsidRPr="00C2274A">
        <w:rPr>
          <w:rFonts w:ascii="Arial" w:hAnsi="Arial" w:cs="Arial"/>
          <w:b/>
          <w:sz w:val="18"/>
          <w:szCs w:val="18"/>
        </w:rPr>
        <w:t xml:space="preserve">The </w:t>
      </w:r>
      <w:r w:rsidR="00147C69">
        <w:rPr>
          <w:rFonts w:ascii="Arial" w:hAnsi="Arial" w:cs="Arial"/>
          <w:b/>
          <w:sz w:val="18"/>
          <w:szCs w:val="18"/>
        </w:rPr>
        <w:t>prerequisite</w:t>
      </w:r>
      <w:r w:rsidR="00B75026" w:rsidRPr="00C2274A">
        <w:rPr>
          <w:rFonts w:ascii="Arial" w:hAnsi="Arial" w:cs="Arial"/>
          <w:b/>
          <w:sz w:val="18"/>
          <w:szCs w:val="18"/>
        </w:rPr>
        <w:t xml:space="preserve"> GPA required for the </w:t>
      </w:r>
      <w:r w:rsidR="00804EDD">
        <w:rPr>
          <w:rFonts w:ascii="Arial" w:hAnsi="Arial" w:cs="Arial"/>
          <w:b/>
          <w:sz w:val="18"/>
          <w:szCs w:val="18"/>
        </w:rPr>
        <w:t>202</w:t>
      </w:r>
      <w:r w:rsidR="00EF2DE9">
        <w:rPr>
          <w:rFonts w:ascii="Arial" w:hAnsi="Arial" w:cs="Arial"/>
          <w:b/>
          <w:sz w:val="18"/>
          <w:szCs w:val="18"/>
        </w:rPr>
        <w:t>5</w:t>
      </w:r>
      <w:r w:rsidR="00414215">
        <w:rPr>
          <w:rFonts w:ascii="Arial" w:hAnsi="Arial" w:cs="Arial"/>
          <w:b/>
          <w:sz w:val="18"/>
          <w:szCs w:val="18"/>
        </w:rPr>
        <w:t xml:space="preserve"> </w:t>
      </w:r>
      <w:r w:rsidR="0053124E">
        <w:rPr>
          <w:rFonts w:ascii="Arial" w:hAnsi="Arial" w:cs="Arial"/>
          <w:b/>
          <w:sz w:val="18"/>
          <w:szCs w:val="18"/>
        </w:rPr>
        <w:t>-</w:t>
      </w:r>
      <w:r w:rsidR="00414215">
        <w:rPr>
          <w:rFonts w:ascii="Arial" w:hAnsi="Arial" w:cs="Arial"/>
          <w:b/>
          <w:sz w:val="18"/>
          <w:szCs w:val="18"/>
        </w:rPr>
        <w:t xml:space="preserve"> </w:t>
      </w:r>
      <w:r w:rsidR="00804EDD">
        <w:rPr>
          <w:rFonts w:ascii="Arial" w:hAnsi="Arial" w:cs="Arial"/>
          <w:b/>
          <w:sz w:val="18"/>
          <w:szCs w:val="18"/>
        </w:rPr>
        <w:t>202</w:t>
      </w:r>
      <w:r w:rsidR="00EF2DE9">
        <w:rPr>
          <w:rFonts w:ascii="Arial" w:hAnsi="Arial" w:cs="Arial"/>
          <w:b/>
          <w:sz w:val="18"/>
          <w:szCs w:val="18"/>
        </w:rPr>
        <w:t>6</w:t>
      </w:r>
      <w:r w:rsidR="00414215">
        <w:rPr>
          <w:rFonts w:ascii="Arial" w:hAnsi="Arial" w:cs="Arial"/>
          <w:b/>
          <w:sz w:val="18"/>
          <w:szCs w:val="18"/>
        </w:rPr>
        <w:t xml:space="preserve"> </w:t>
      </w:r>
      <w:r w:rsidR="0053124E">
        <w:rPr>
          <w:rFonts w:ascii="Arial" w:hAnsi="Arial" w:cs="Arial"/>
          <w:b/>
          <w:sz w:val="18"/>
          <w:szCs w:val="18"/>
        </w:rPr>
        <w:t xml:space="preserve">academic year (Fall </w:t>
      </w:r>
      <w:r w:rsidR="00804EDD">
        <w:rPr>
          <w:rFonts w:ascii="Arial" w:hAnsi="Arial" w:cs="Arial"/>
          <w:b/>
          <w:sz w:val="18"/>
          <w:szCs w:val="18"/>
        </w:rPr>
        <w:t>202</w:t>
      </w:r>
      <w:r w:rsidR="00EF2DE9">
        <w:rPr>
          <w:rFonts w:ascii="Arial" w:hAnsi="Arial" w:cs="Arial"/>
          <w:b/>
          <w:sz w:val="18"/>
          <w:szCs w:val="18"/>
        </w:rPr>
        <w:t>5</w:t>
      </w:r>
      <w:r w:rsidR="00315C6E">
        <w:rPr>
          <w:rFonts w:ascii="Arial" w:hAnsi="Arial" w:cs="Arial"/>
          <w:b/>
          <w:sz w:val="18"/>
          <w:szCs w:val="18"/>
        </w:rPr>
        <w:t>,</w:t>
      </w:r>
      <w:r w:rsidR="00414215">
        <w:rPr>
          <w:rFonts w:ascii="Arial" w:hAnsi="Arial" w:cs="Arial"/>
          <w:b/>
          <w:sz w:val="18"/>
          <w:szCs w:val="18"/>
        </w:rPr>
        <w:t xml:space="preserve"> </w:t>
      </w:r>
      <w:r w:rsidR="0053124E">
        <w:rPr>
          <w:rFonts w:ascii="Arial" w:hAnsi="Arial" w:cs="Arial"/>
          <w:b/>
          <w:sz w:val="18"/>
          <w:szCs w:val="18"/>
        </w:rPr>
        <w:t xml:space="preserve">Spring </w:t>
      </w:r>
      <w:r w:rsidR="00804EDD">
        <w:rPr>
          <w:rFonts w:ascii="Arial" w:hAnsi="Arial" w:cs="Arial"/>
          <w:b/>
          <w:sz w:val="18"/>
          <w:szCs w:val="18"/>
        </w:rPr>
        <w:t>202</w:t>
      </w:r>
      <w:r w:rsidR="00EF2DE9">
        <w:rPr>
          <w:rFonts w:ascii="Arial" w:hAnsi="Arial" w:cs="Arial"/>
          <w:b/>
          <w:sz w:val="18"/>
          <w:szCs w:val="18"/>
        </w:rPr>
        <w:t>6</w:t>
      </w:r>
      <w:r w:rsidR="0053124E">
        <w:rPr>
          <w:rFonts w:ascii="Arial" w:hAnsi="Arial" w:cs="Arial"/>
          <w:b/>
          <w:sz w:val="18"/>
          <w:szCs w:val="18"/>
        </w:rPr>
        <w:t xml:space="preserve">, and Summer </w:t>
      </w:r>
      <w:r w:rsidR="00804EDD">
        <w:rPr>
          <w:rFonts w:ascii="Arial" w:hAnsi="Arial" w:cs="Arial"/>
          <w:b/>
          <w:sz w:val="18"/>
          <w:szCs w:val="18"/>
        </w:rPr>
        <w:t>202</w:t>
      </w:r>
      <w:r w:rsidR="00EF2DE9">
        <w:rPr>
          <w:rFonts w:ascii="Arial" w:hAnsi="Arial" w:cs="Arial"/>
          <w:b/>
          <w:sz w:val="18"/>
          <w:szCs w:val="18"/>
        </w:rPr>
        <w:t>6</w:t>
      </w:r>
      <w:r w:rsidR="00B75026" w:rsidRPr="00C2274A">
        <w:rPr>
          <w:rFonts w:ascii="Arial" w:hAnsi="Arial" w:cs="Arial"/>
          <w:b/>
          <w:sz w:val="18"/>
          <w:szCs w:val="18"/>
        </w:rPr>
        <w:t>) is 2.</w:t>
      </w:r>
      <w:r w:rsidR="00147C69">
        <w:rPr>
          <w:rFonts w:ascii="Arial" w:hAnsi="Arial" w:cs="Arial"/>
          <w:b/>
          <w:sz w:val="18"/>
          <w:szCs w:val="18"/>
        </w:rPr>
        <w:t>500</w:t>
      </w:r>
      <w:r w:rsidR="00B75026" w:rsidRPr="00C2274A">
        <w:rPr>
          <w:rFonts w:ascii="Arial" w:hAnsi="Arial" w:cs="Arial"/>
          <w:b/>
          <w:sz w:val="18"/>
          <w:szCs w:val="18"/>
        </w:rPr>
        <w:t xml:space="preserve">.  The </w:t>
      </w:r>
      <w:r w:rsidR="00147C69">
        <w:rPr>
          <w:rFonts w:ascii="Arial" w:hAnsi="Arial" w:cs="Arial"/>
          <w:b/>
          <w:sz w:val="18"/>
          <w:szCs w:val="18"/>
        </w:rPr>
        <w:t>prerequisite</w:t>
      </w:r>
      <w:r w:rsidR="00B75026" w:rsidRPr="00C2274A">
        <w:rPr>
          <w:rFonts w:ascii="Arial" w:hAnsi="Arial" w:cs="Arial"/>
          <w:b/>
          <w:sz w:val="18"/>
          <w:szCs w:val="18"/>
        </w:rPr>
        <w:t xml:space="preserve"> GPA required is subject to change each academic year.  </w:t>
      </w:r>
    </w:p>
    <w:p w14:paraId="2C5C2BF7" w14:textId="77777777" w:rsidR="005131C5" w:rsidRPr="003E2426" w:rsidRDefault="005131C5" w:rsidP="003E2426">
      <w:pPr>
        <w:rPr>
          <w:rFonts w:ascii="Arial" w:hAnsi="Arial" w:cs="Arial"/>
          <w:b/>
          <w:sz w:val="20"/>
        </w:rPr>
      </w:pPr>
    </w:p>
    <w:p w14:paraId="2C5C2BF8" w14:textId="77777777" w:rsidR="004768D1" w:rsidRPr="0027143A" w:rsidRDefault="004768D1">
      <w:pPr>
        <w:ind w:left="180" w:right="-900" w:hanging="630"/>
        <w:rPr>
          <w:rFonts w:ascii="Arial" w:hAnsi="Arial"/>
          <w:b/>
          <w:sz w:val="16"/>
          <w:szCs w:val="16"/>
        </w:rPr>
      </w:pPr>
    </w:p>
    <w:tbl>
      <w:tblPr>
        <w:tblW w:w="1107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846"/>
        <w:gridCol w:w="54"/>
        <w:gridCol w:w="695"/>
        <w:gridCol w:w="25"/>
        <w:gridCol w:w="5400"/>
        <w:gridCol w:w="616"/>
        <w:gridCol w:w="3164"/>
      </w:tblGrid>
      <w:tr w:rsidR="004768D1" w:rsidRPr="005131C5" w14:paraId="2C5C2BFA" w14:textId="77777777" w:rsidTr="00561155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BF9" w14:textId="77777777" w:rsidR="004768D1" w:rsidRPr="005131C5" w:rsidRDefault="004768D1" w:rsidP="0017353D">
            <w:pPr>
              <w:rPr>
                <w:rFonts w:ascii="Arial" w:hAnsi="Arial"/>
                <w:b/>
                <w:sz w:val="18"/>
                <w:szCs w:val="18"/>
              </w:rPr>
            </w:pPr>
            <w:r w:rsidRPr="005131C5">
              <w:rPr>
                <w:rFonts w:ascii="Arial" w:hAnsi="Arial"/>
                <w:b/>
                <w:sz w:val="18"/>
                <w:szCs w:val="18"/>
              </w:rPr>
              <w:t xml:space="preserve">Lower-level Prerequisites for Accounting Majors:  All of these courses must be completed </w:t>
            </w:r>
            <w:r w:rsidR="00075DB8" w:rsidRPr="005131C5">
              <w:rPr>
                <w:rFonts w:ascii="Arial" w:hAnsi="Arial"/>
                <w:b/>
                <w:sz w:val="18"/>
                <w:szCs w:val="18"/>
              </w:rPr>
              <w:t>with a “C</w:t>
            </w:r>
            <w:r w:rsidR="0017353D" w:rsidRPr="005131C5">
              <w:rPr>
                <w:rFonts w:ascii="Arial" w:hAnsi="Arial"/>
                <w:b/>
                <w:sz w:val="18"/>
                <w:szCs w:val="18"/>
              </w:rPr>
              <w:t>-</w:t>
            </w:r>
            <w:r w:rsidR="0017353D">
              <w:rPr>
                <w:rFonts w:ascii="Arial" w:hAnsi="Arial"/>
                <w:b/>
                <w:sz w:val="18"/>
                <w:szCs w:val="18"/>
              </w:rPr>
              <w:t>”</w:t>
            </w:r>
            <w:r w:rsidR="00075DB8" w:rsidRPr="005131C5">
              <w:rPr>
                <w:rFonts w:ascii="Arial" w:hAnsi="Arial"/>
                <w:b/>
                <w:sz w:val="18"/>
                <w:szCs w:val="18"/>
              </w:rPr>
              <w:t xml:space="preserve"> or better </w:t>
            </w:r>
            <w:r w:rsidRPr="005131C5">
              <w:rPr>
                <w:rFonts w:ascii="Arial" w:hAnsi="Arial"/>
                <w:b/>
                <w:sz w:val="18"/>
                <w:szCs w:val="18"/>
              </w:rPr>
              <w:t>prior to admission to the Accounting major.</w:t>
            </w:r>
          </w:p>
        </w:tc>
      </w:tr>
      <w:tr w:rsidR="00561155" w:rsidRPr="005131C5" w14:paraId="2C5C2BFF" w14:textId="77777777" w:rsidTr="00561155"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BFB" w14:textId="77777777" w:rsidR="00561155" w:rsidRPr="005131C5" w:rsidRDefault="00561155" w:rsidP="003E023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C2BFC" w14:textId="77777777" w:rsidR="00561155" w:rsidRPr="005131C5" w:rsidRDefault="00561155" w:rsidP="003E023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C2BFD" w14:textId="77777777" w:rsidR="00561155" w:rsidRPr="005131C5" w:rsidRDefault="00561155" w:rsidP="003E023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BFE" w14:textId="77777777" w:rsidR="00561155" w:rsidRPr="005131C5" w:rsidRDefault="0056115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95EC5" w:rsidRPr="005131C5" w14:paraId="2C5C2C04" w14:textId="77777777" w:rsidTr="00561155"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0" w14:textId="77777777" w:rsidR="00B95EC5" w:rsidRPr="005131C5" w:rsidRDefault="00B95EC5" w:rsidP="003E023B">
            <w:pPr>
              <w:rPr>
                <w:rFonts w:ascii="Arial" w:hAnsi="Arial"/>
                <w:b/>
                <w:sz w:val="18"/>
                <w:szCs w:val="18"/>
              </w:rPr>
            </w:pPr>
            <w:r w:rsidRPr="005131C5">
              <w:rPr>
                <w:rFonts w:ascii="Arial" w:hAnsi="Arial"/>
                <w:b/>
                <w:sz w:val="18"/>
                <w:szCs w:val="18"/>
              </w:rPr>
              <w:t>Course #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1" w14:textId="77777777" w:rsidR="00B95EC5" w:rsidRPr="005131C5" w:rsidRDefault="00B95EC5" w:rsidP="003E023B">
            <w:pPr>
              <w:rPr>
                <w:rFonts w:ascii="Arial" w:hAnsi="Arial"/>
                <w:b/>
                <w:sz w:val="18"/>
                <w:szCs w:val="18"/>
              </w:rPr>
            </w:pPr>
            <w:r w:rsidRPr="005131C5">
              <w:rPr>
                <w:rFonts w:ascii="Arial" w:hAnsi="Arial"/>
                <w:b/>
                <w:sz w:val="18"/>
                <w:szCs w:val="18"/>
              </w:rPr>
              <w:t>Course Title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2" w14:textId="77777777" w:rsidR="00B95EC5" w:rsidRPr="005131C5" w:rsidRDefault="00B95EC5" w:rsidP="003E023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131C5">
              <w:rPr>
                <w:rFonts w:ascii="Arial" w:hAnsi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3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b/>
                <w:sz w:val="18"/>
                <w:szCs w:val="18"/>
              </w:rPr>
              <w:t>Course Prerequisites</w:t>
            </w:r>
          </w:p>
        </w:tc>
      </w:tr>
      <w:tr w:rsidR="00B95EC5" w:rsidRPr="005131C5" w14:paraId="2C5C2C0B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5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06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ECO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07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2013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8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Principles of Macroeconomics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9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A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B95EC5" w:rsidRPr="005131C5" w14:paraId="2C5C2C12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C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0D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 xml:space="preserve">ECO 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0E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2023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0F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Principles of Microeconomics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0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1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B95EC5" w:rsidRPr="005131C5" w14:paraId="2C5C2C19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3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14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MAC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15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2233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6" w14:textId="51154780" w:rsidR="00B95EC5" w:rsidRPr="005131C5" w:rsidRDefault="00075866" w:rsidP="00970E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Applied </w:t>
            </w:r>
            <w:r w:rsidR="00B95EC5" w:rsidRPr="005131C5">
              <w:rPr>
                <w:rFonts w:ascii="Arial" w:hAnsi="Arial"/>
                <w:sz w:val="18"/>
                <w:szCs w:val="18"/>
              </w:rPr>
              <w:t xml:space="preserve">Calculus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7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8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MAC 1105</w:t>
            </w:r>
          </w:p>
        </w:tc>
      </w:tr>
      <w:tr w:rsidR="00B95EC5" w:rsidRPr="005131C5" w14:paraId="2C5C2C20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A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1B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STA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1C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2023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D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Fundamental Business Statistics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E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1F" w14:textId="018F47E7" w:rsidR="00B95EC5" w:rsidRPr="005131C5" w:rsidRDefault="0007586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B95EC5" w:rsidRPr="005131C5" w14:paraId="2C5C2C31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21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22" w14:textId="77777777" w:rsidR="004C2715" w:rsidRPr="005131C5" w:rsidRDefault="00B95EC5" w:rsidP="004C271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 xml:space="preserve">CGS </w:t>
            </w:r>
          </w:p>
          <w:p w14:paraId="2C5C2C23" w14:textId="77777777" w:rsidR="004C2715" w:rsidRPr="005131C5" w:rsidRDefault="004C2715" w:rsidP="004C271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or</w:t>
            </w:r>
          </w:p>
          <w:p w14:paraId="2C5C2C24" w14:textId="77777777" w:rsidR="004C2715" w:rsidRPr="005131C5" w:rsidRDefault="004C2715" w:rsidP="004C271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CGS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25" w14:textId="77777777" w:rsidR="004C271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2100</w:t>
            </w:r>
          </w:p>
          <w:p w14:paraId="2C5C2C26" w14:textId="77777777" w:rsidR="004C2715" w:rsidRPr="005131C5" w:rsidRDefault="004C2715">
            <w:pPr>
              <w:rPr>
                <w:rFonts w:ascii="Arial" w:hAnsi="Arial"/>
                <w:sz w:val="18"/>
                <w:szCs w:val="18"/>
              </w:rPr>
            </w:pPr>
          </w:p>
          <w:p w14:paraId="2C5C2C27" w14:textId="77777777" w:rsidR="004C2715" w:rsidRPr="005131C5" w:rsidRDefault="004C271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2518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28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Microcomputer Applications for Business</w:t>
            </w:r>
          </w:p>
          <w:p w14:paraId="2C5C2C29" w14:textId="77777777" w:rsidR="004C2715" w:rsidRPr="005131C5" w:rsidRDefault="004C2715">
            <w:pPr>
              <w:rPr>
                <w:rFonts w:ascii="Arial" w:hAnsi="Arial"/>
                <w:sz w:val="18"/>
                <w:szCs w:val="18"/>
              </w:rPr>
            </w:pPr>
          </w:p>
          <w:p w14:paraId="2C5C2C2A" w14:textId="77777777" w:rsidR="004C2715" w:rsidRPr="00AF1532" w:rsidRDefault="004C2715" w:rsidP="001C1AF4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Spreadsheets for Business</w:t>
            </w:r>
            <w:r w:rsidR="00AF1532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AF1532" w:rsidRPr="00AF1532">
              <w:rPr>
                <w:rFonts w:ascii="Arial" w:hAnsi="Arial"/>
                <w:b/>
                <w:i/>
                <w:sz w:val="16"/>
                <w:szCs w:val="16"/>
              </w:rPr>
              <w:t>(</w:t>
            </w:r>
            <w:r w:rsidR="001C1AF4">
              <w:rPr>
                <w:rFonts w:ascii="Arial" w:hAnsi="Arial"/>
                <w:b/>
                <w:i/>
                <w:sz w:val="16"/>
                <w:szCs w:val="16"/>
              </w:rPr>
              <w:t>prerequisite to ACG4401; see below</w:t>
            </w:r>
            <w:r w:rsidR="00AF1532" w:rsidRPr="00AF1532">
              <w:rPr>
                <w:rFonts w:ascii="Arial" w:hAnsi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2B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  <w:p w14:paraId="2C5C2C2C" w14:textId="77777777" w:rsidR="004C2715" w:rsidRPr="005131C5" w:rsidRDefault="004C271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C5C2C2D" w14:textId="77777777" w:rsidR="004C2715" w:rsidRPr="005131C5" w:rsidRDefault="004C271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2E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None</w:t>
            </w:r>
          </w:p>
          <w:p w14:paraId="2C5C2C2F" w14:textId="77777777" w:rsidR="003A1202" w:rsidRPr="005131C5" w:rsidRDefault="003A1202">
            <w:pPr>
              <w:rPr>
                <w:rFonts w:ascii="Arial" w:hAnsi="Arial"/>
                <w:sz w:val="18"/>
                <w:szCs w:val="18"/>
              </w:rPr>
            </w:pPr>
          </w:p>
          <w:p w14:paraId="2C5C2C30" w14:textId="77777777" w:rsidR="003A1202" w:rsidRPr="005131C5" w:rsidRDefault="003A1202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B95EC5" w:rsidRPr="005131C5" w14:paraId="2C5C2C38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32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33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ACG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34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35" w14:textId="14D60AEF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Introduction to Financial Accounting</w:t>
            </w:r>
            <w:r w:rsidR="007415FD">
              <w:rPr>
                <w:rFonts w:ascii="Arial" w:hAnsi="Arial"/>
                <w:sz w:val="18"/>
                <w:szCs w:val="18"/>
              </w:rPr>
              <w:t xml:space="preserve"> (B or better)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36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37" w14:textId="77777777" w:rsidR="00507D59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507D59" w:rsidRPr="005131C5" w14:paraId="2C5C2C3F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39" w14:textId="77777777" w:rsidR="00507D59" w:rsidRPr="005131C5" w:rsidRDefault="00507D5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3A" w14:textId="77777777" w:rsidR="00507D59" w:rsidRPr="005131C5" w:rsidRDefault="00507D59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ACG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3B" w14:textId="77777777" w:rsidR="00507D59" w:rsidRPr="005131C5" w:rsidRDefault="00507D59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2071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3C" w14:textId="4C50F1FB" w:rsidR="00507D59" w:rsidRPr="005131C5" w:rsidRDefault="00507D59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Introduction to Managerial Accounting</w:t>
            </w:r>
            <w:r w:rsidR="007415FD">
              <w:rPr>
                <w:rFonts w:ascii="Arial" w:hAnsi="Arial"/>
                <w:sz w:val="18"/>
                <w:szCs w:val="18"/>
              </w:rPr>
              <w:t xml:space="preserve"> (B or better)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3D" w14:textId="77777777" w:rsidR="00507D59" w:rsidRPr="005131C5" w:rsidRDefault="00507D5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3E" w14:textId="77777777" w:rsidR="00507D59" w:rsidRPr="005131C5" w:rsidRDefault="006260B6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ACG 202</w:t>
            </w:r>
            <w:r w:rsidR="00507D59" w:rsidRPr="005131C5">
              <w:rPr>
                <w:rFonts w:ascii="Arial" w:hAnsi="Arial"/>
                <w:sz w:val="18"/>
                <w:szCs w:val="18"/>
              </w:rPr>
              <w:t>1</w:t>
            </w:r>
          </w:p>
        </w:tc>
      </w:tr>
      <w:tr w:rsidR="00B95EC5" w:rsidRPr="005131C5" w14:paraId="2C5C2C41" w14:textId="77777777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C2C40" w14:textId="77777777" w:rsidR="00B95EC5" w:rsidRPr="005131C5" w:rsidRDefault="00B95EC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75026" w:rsidRPr="005131C5" w14:paraId="2C5C2C43" w14:textId="77777777" w:rsidTr="00E852C1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42" w14:textId="77777777" w:rsidR="007A7E54" w:rsidRPr="005131C5" w:rsidRDefault="003E2426" w:rsidP="00507D59">
            <w:pPr>
              <w:rPr>
                <w:rFonts w:ascii="Arial" w:hAnsi="Arial"/>
                <w:b/>
                <w:sz w:val="18"/>
                <w:szCs w:val="18"/>
              </w:rPr>
            </w:pPr>
            <w:r w:rsidRPr="005131C5">
              <w:rPr>
                <w:rFonts w:ascii="Arial" w:hAnsi="Arial"/>
                <w:b/>
                <w:sz w:val="18"/>
                <w:szCs w:val="18"/>
              </w:rPr>
              <w:t>CGS 2518 – Spreadsheets fo</w:t>
            </w:r>
            <w:r w:rsidR="00507D59" w:rsidRPr="005131C5">
              <w:rPr>
                <w:rFonts w:ascii="Arial" w:hAnsi="Arial"/>
                <w:b/>
                <w:sz w:val="18"/>
                <w:szCs w:val="18"/>
              </w:rPr>
              <w:t>r Business (3) is required for students in</w:t>
            </w:r>
            <w:r w:rsidRPr="005131C5">
              <w:rPr>
                <w:rFonts w:ascii="Arial" w:hAnsi="Arial"/>
                <w:b/>
                <w:sz w:val="18"/>
                <w:szCs w:val="18"/>
              </w:rPr>
              <w:t xml:space="preserve"> the Accounting </w:t>
            </w:r>
            <w:r w:rsidR="00507D59" w:rsidRPr="005131C5">
              <w:rPr>
                <w:rFonts w:ascii="Arial" w:hAnsi="Arial"/>
                <w:b/>
                <w:sz w:val="18"/>
                <w:szCs w:val="18"/>
              </w:rPr>
              <w:t xml:space="preserve">Major. </w:t>
            </w:r>
            <w:r w:rsidR="00D461FD" w:rsidRPr="005131C5">
              <w:rPr>
                <w:rFonts w:ascii="Arial" w:hAnsi="Arial"/>
                <w:b/>
                <w:sz w:val="18"/>
                <w:szCs w:val="18"/>
              </w:rPr>
              <w:t xml:space="preserve">A grade of </w:t>
            </w:r>
            <w:r w:rsidR="0017353D" w:rsidRPr="005131C5">
              <w:rPr>
                <w:rFonts w:ascii="Arial" w:hAnsi="Arial"/>
                <w:b/>
                <w:sz w:val="18"/>
                <w:szCs w:val="18"/>
              </w:rPr>
              <w:t>“C-</w:t>
            </w:r>
            <w:r w:rsidR="0017353D">
              <w:rPr>
                <w:rFonts w:ascii="Arial" w:hAnsi="Arial"/>
                <w:b/>
                <w:sz w:val="18"/>
                <w:szCs w:val="18"/>
              </w:rPr>
              <w:t xml:space="preserve">” </w:t>
            </w:r>
            <w:r w:rsidR="00D461FD" w:rsidRPr="005131C5">
              <w:rPr>
                <w:rFonts w:ascii="Arial" w:hAnsi="Arial"/>
                <w:b/>
                <w:sz w:val="18"/>
                <w:szCs w:val="18"/>
              </w:rPr>
              <w:t xml:space="preserve">or better is required. </w:t>
            </w:r>
            <w:r w:rsidRPr="005131C5">
              <w:rPr>
                <w:rFonts w:ascii="Arial" w:hAnsi="Arial"/>
                <w:b/>
                <w:sz w:val="18"/>
                <w:szCs w:val="18"/>
              </w:rPr>
              <w:t>This course also counts as a non-business course.</w:t>
            </w:r>
            <w:r w:rsidR="00C2274A">
              <w:rPr>
                <w:rFonts w:ascii="Arial" w:hAnsi="Arial"/>
                <w:b/>
                <w:sz w:val="18"/>
                <w:szCs w:val="18"/>
              </w:rPr>
              <w:t xml:space="preserve">  It is a prerequisite to ACG4401.</w:t>
            </w:r>
          </w:p>
        </w:tc>
      </w:tr>
      <w:tr w:rsidR="00C2274A" w:rsidRPr="005131C5" w14:paraId="2C5C2C45" w14:textId="77777777" w:rsidTr="00E852C1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44" w14:textId="4710E87D" w:rsidR="00C2274A" w:rsidRPr="005131C5" w:rsidRDefault="00C2274A" w:rsidP="00507D59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7A7E54" w:rsidRPr="005131C5" w14:paraId="2C5C2C47" w14:textId="77777777" w:rsidTr="00E852C1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46" w14:textId="3719A1CF" w:rsidR="007A7E54" w:rsidRPr="005131C5" w:rsidRDefault="003024DB" w:rsidP="0053124E">
            <w:pPr>
              <w:rPr>
                <w:rFonts w:ascii="Arial" w:hAnsi="Arial"/>
                <w:b/>
                <w:sz w:val="18"/>
                <w:szCs w:val="18"/>
              </w:rPr>
            </w:pPr>
            <w:r w:rsidRPr="003024DB">
              <w:rPr>
                <w:rFonts w:ascii="Arial" w:hAnsi="Arial"/>
                <w:b/>
                <w:sz w:val="18"/>
                <w:szCs w:val="18"/>
              </w:rPr>
              <w:t>GEB 1030 – Professional Development for Business careers (1) is required for all students entering FSU Fall 2019 or later. A grade of “C-“ or better is required.</w:t>
            </w:r>
          </w:p>
        </w:tc>
      </w:tr>
      <w:tr w:rsidR="00C2274A" w:rsidRPr="005131C5" w14:paraId="2C5C2C49" w14:textId="77777777" w:rsidTr="00E852C1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48" w14:textId="77777777" w:rsidR="00C2274A" w:rsidRPr="005131C5" w:rsidRDefault="00C2274A" w:rsidP="00AE75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5026" w:rsidRPr="005131C5" w14:paraId="2C5C2C4B" w14:textId="77777777" w:rsidTr="00E852C1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4A" w14:textId="05DBAE25" w:rsidR="00B75026" w:rsidRPr="005131C5" w:rsidRDefault="003024DB" w:rsidP="00AE75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24DB">
              <w:rPr>
                <w:rFonts w:ascii="Arial" w:hAnsi="Arial" w:cs="Arial"/>
                <w:b/>
                <w:sz w:val="18"/>
                <w:szCs w:val="18"/>
              </w:rPr>
              <w:t>RMI 2302 – Risk in Business and Society (3) is required for students entering FSU 2013 or later. A grade of “C-” or better is required.</w:t>
            </w:r>
          </w:p>
        </w:tc>
      </w:tr>
      <w:tr w:rsidR="00B95EC5" w:rsidRPr="005131C5" w14:paraId="2C5C2C4D" w14:textId="77777777" w:rsidTr="00E852C1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4C" w14:textId="77777777" w:rsidR="00B95EC5" w:rsidRPr="005131C5" w:rsidRDefault="00B95EC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95EC5" w:rsidRPr="005131C5" w14:paraId="2C5C2C4F" w14:textId="77777777" w:rsidTr="00E852C1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4E" w14:textId="77777777" w:rsidR="00B95EC5" w:rsidRPr="005131C5" w:rsidRDefault="00B95EC5">
            <w:pPr>
              <w:rPr>
                <w:rFonts w:ascii="Arial" w:hAnsi="Arial"/>
                <w:b/>
                <w:sz w:val="18"/>
                <w:szCs w:val="18"/>
              </w:rPr>
            </w:pPr>
            <w:r w:rsidRPr="005131C5">
              <w:rPr>
                <w:rFonts w:ascii="Arial" w:hAnsi="Arial"/>
                <w:b/>
                <w:sz w:val="18"/>
                <w:szCs w:val="18"/>
              </w:rPr>
              <w:t>General Business Core Requirements for Accounting Ma</w:t>
            </w:r>
            <w:r w:rsidR="000A6BBC">
              <w:rPr>
                <w:rFonts w:ascii="Arial" w:hAnsi="Arial"/>
                <w:b/>
                <w:sz w:val="18"/>
                <w:szCs w:val="18"/>
              </w:rPr>
              <w:t xml:space="preserve">jors:  Students must earn a </w:t>
            </w:r>
            <w:r w:rsidR="0017353D" w:rsidRPr="005131C5">
              <w:rPr>
                <w:rFonts w:ascii="Arial" w:hAnsi="Arial"/>
                <w:b/>
                <w:sz w:val="18"/>
                <w:szCs w:val="18"/>
              </w:rPr>
              <w:t>“C-</w:t>
            </w:r>
            <w:r w:rsidR="0017353D">
              <w:rPr>
                <w:rFonts w:ascii="Arial" w:hAnsi="Arial"/>
                <w:b/>
                <w:sz w:val="18"/>
                <w:szCs w:val="18"/>
              </w:rPr>
              <w:t xml:space="preserve">” </w:t>
            </w:r>
            <w:r w:rsidRPr="005131C5">
              <w:rPr>
                <w:rFonts w:ascii="Arial" w:hAnsi="Arial"/>
                <w:b/>
                <w:sz w:val="18"/>
                <w:szCs w:val="18"/>
              </w:rPr>
              <w:t>or better in each course.</w:t>
            </w:r>
          </w:p>
        </w:tc>
      </w:tr>
      <w:tr w:rsidR="00B95EC5" w:rsidRPr="005131C5" w14:paraId="2C5C2C56" w14:textId="77777777"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50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5C2C51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FIN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2C52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3403</w:t>
            </w:r>
          </w:p>
        </w:tc>
        <w:tc>
          <w:tcPr>
            <w:tcW w:w="5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53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Financial Management of the Firm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54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55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ECO 2023, ACG 2021</w:t>
            </w:r>
          </w:p>
        </w:tc>
      </w:tr>
      <w:tr w:rsidR="00B95EC5" w:rsidRPr="005131C5" w14:paraId="2C5C2C5D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57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58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GEB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59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3213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5A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Business Communications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5B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5C" w14:textId="2B80E1EF" w:rsidR="00B95EC5" w:rsidRPr="005131C5" w:rsidRDefault="007764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143C4E" w:rsidRPr="005131C5" w14:paraId="2C5C2C64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5E" w14:textId="77777777" w:rsidR="00143C4E" w:rsidRPr="005131C5" w:rsidRDefault="00143C4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5F" w14:textId="77777777" w:rsidR="00143C4E" w:rsidRPr="005131C5" w:rsidRDefault="00143C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60" w14:textId="77777777" w:rsidR="00143C4E" w:rsidRPr="005131C5" w:rsidRDefault="00143C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3541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61" w14:textId="77777777" w:rsidR="00143C4E" w:rsidRPr="005131C5" w:rsidRDefault="00143C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Introduction to Business Analytics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62" w14:textId="77777777" w:rsidR="00143C4E" w:rsidRPr="005131C5" w:rsidRDefault="00143C4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63" w14:textId="77777777" w:rsidR="00143C4E" w:rsidRPr="005131C5" w:rsidRDefault="00143C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B95EC5" w:rsidRPr="005131C5" w14:paraId="2C5C2C6B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65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66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MAN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67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3240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68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Organizational Behavior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69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6A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B95EC5" w:rsidRPr="005131C5" w14:paraId="2C5C2C72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6C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6D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MAR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6E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3023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6F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Basic Marketing Concepts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70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71" w14:textId="7B1F65C7" w:rsidR="00B95EC5" w:rsidRPr="005131C5" w:rsidRDefault="0005655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</w:tr>
      <w:tr w:rsidR="00B95EC5" w:rsidRPr="005131C5" w14:paraId="2C5C2C74" w14:textId="77777777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C2C73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95EC5" w:rsidRPr="005131C5" w14:paraId="2C5C2C76" w14:textId="77777777" w:rsidTr="00E852C1"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75" w14:textId="77777777" w:rsidR="00B95EC5" w:rsidRPr="005131C5" w:rsidRDefault="00B95EC5">
            <w:pPr>
              <w:rPr>
                <w:rFonts w:ascii="Arial" w:hAnsi="Arial"/>
                <w:b/>
                <w:sz w:val="18"/>
                <w:szCs w:val="18"/>
              </w:rPr>
            </w:pPr>
            <w:r w:rsidRPr="005131C5">
              <w:rPr>
                <w:rFonts w:ascii="Arial" w:hAnsi="Arial"/>
                <w:b/>
                <w:sz w:val="18"/>
                <w:szCs w:val="18"/>
              </w:rPr>
              <w:t>General Business Breadth Requirements for Accounting Maj</w:t>
            </w:r>
            <w:r w:rsidR="0053124E">
              <w:rPr>
                <w:rFonts w:ascii="Arial" w:hAnsi="Arial"/>
                <w:b/>
                <w:sz w:val="18"/>
                <w:szCs w:val="18"/>
              </w:rPr>
              <w:t xml:space="preserve">ors:  Students must earn a </w:t>
            </w:r>
            <w:r w:rsidR="0017353D" w:rsidRPr="005131C5">
              <w:rPr>
                <w:rFonts w:ascii="Arial" w:hAnsi="Arial"/>
                <w:b/>
                <w:sz w:val="18"/>
                <w:szCs w:val="18"/>
              </w:rPr>
              <w:t>“C-</w:t>
            </w:r>
            <w:r w:rsidR="0017353D">
              <w:rPr>
                <w:rFonts w:ascii="Arial" w:hAnsi="Arial"/>
                <w:b/>
                <w:sz w:val="18"/>
                <w:szCs w:val="18"/>
              </w:rPr>
              <w:t xml:space="preserve">” </w:t>
            </w:r>
            <w:r w:rsidRPr="005131C5">
              <w:rPr>
                <w:rFonts w:ascii="Arial" w:hAnsi="Arial"/>
                <w:b/>
                <w:sz w:val="18"/>
                <w:szCs w:val="18"/>
              </w:rPr>
              <w:t>or better in each course.</w:t>
            </w:r>
          </w:p>
        </w:tc>
      </w:tr>
      <w:tr w:rsidR="00B95EC5" w:rsidRPr="005131C5" w14:paraId="2C5C2C7D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77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78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FIN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79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3244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7A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Financial Markets, Institutions, and Intl. Finance Systems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7B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7C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ECO 2013, ACG 2021</w:t>
            </w:r>
          </w:p>
        </w:tc>
      </w:tr>
      <w:tr w:rsidR="00C2274A" w:rsidRPr="005131C5" w14:paraId="2C5C2C84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7E" w14:textId="77777777" w:rsidR="00C2274A" w:rsidRPr="005131C5" w:rsidRDefault="00C2274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7F" w14:textId="77777777" w:rsidR="00C2274A" w:rsidRPr="005131C5" w:rsidRDefault="00C227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80" w14:textId="66CA73E0" w:rsidR="00C2274A" w:rsidRPr="005131C5" w:rsidRDefault="00C2274A" w:rsidP="0039597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472</w:t>
            </w:r>
            <w:r w:rsidR="00395975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81" w14:textId="1F8183DA" w:rsidR="00C2274A" w:rsidRPr="005131C5" w:rsidRDefault="0039597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Strategic Management and Business Policy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82" w14:textId="77777777" w:rsidR="00C2274A" w:rsidRPr="005131C5" w:rsidRDefault="00C2274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83" w14:textId="1EBD43F2" w:rsidR="00C2274A" w:rsidRPr="005131C5" w:rsidRDefault="00395975" w:rsidP="0039597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 3403, MAN 3240, MAR 3023</w:t>
            </w:r>
          </w:p>
        </w:tc>
      </w:tr>
      <w:tr w:rsidR="00B95EC5" w:rsidRPr="005131C5" w14:paraId="2C5C2C8B" w14:textId="77777777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85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86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QMB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87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3200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88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Quantitative Methods for Business Decisions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89" w14:textId="77777777" w:rsidR="00B95EC5" w:rsidRPr="005131C5" w:rsidRDefault="00B95E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8A" w14:textId="77777777" w:rsidR="00B95EC5" w:rsidRPr="005131C5" w:rsidRDefault="00B95EC5">
            <w:pPr>
              <w:rPr>
                <w:rFonts w:ascii="Arial" w:hAnsi="Arial"/>
                <w:sz w:val="18"/>
                <w:szCs w:val="18"/>
              </w:rPr>
            </w:pPr>
            <w:r w:rsidRPr="005131C5">
              <w:rPr>
                <w:rFonts w:ascii="Arial" w:hAnsi="Arial"/>
                <w:sz w:val="18"/>
                <w:szCs w:val="18"/>
              </w:rPr>
              <w:t>CGS 2100, STA 2023</w:t>
            </w:r>
          </w:p>
        </w:tc>
      </w:tr>
    </w:tbl>
    <w:p w14:paraId="2C5C2C8C" w14:textId="77777777" w:rsidR="00970EA6" w:rsidRDefault="00970EA6">
      <w:pPr>
        <w:ind w:hanging="450"/>
        <w:rPr>
          <w:rFonts w:ascii="Arial" w:hAnsi="Arial"/>
          <w:b/>
          <w:sz w:val="18"/>
          <w:szCs w:val="18"/>
        </w:rPr>
      </w:pPr>
    </w:p>
    <w:p w14:paraId="2C5C2C8D" w14:textId="77777777" w:rsidR="00970EA6" w:rsidRDefault="00970EA6">
      <w:pPr>
        <w:ind w:hanging="450"/>
        <w:rPr>
          <w:rFonts w:ascii="Arial" w:hAnsi="Arial"/>
          <w:b/>
          <w:sz w:val="18"/>
          <w:szCs w:val="18"/>
        </w:rPr>
      </w:pPr>
    </w:p>
    <w:p w14:paraId="2C5C2C8E" w14:textId="77777777" w:rsidR="00143C4E" w:rsidRDefault="00143C4E">
      <w:pPr>
        <w:ind w:hanging="450"/>
        <w:rPr>
          <w:rFonts w:ascii="Arial" w:hAnsi="Arial"/>
          <w:b/>
          <w:sz w:val="18"/>
          <w:szCs w:val="18"/>
        </w:rPr>
      </w:pPr>
    </w:p>
    <w:p w14:paraId="2C5C2C8F" w14:textId="77777777" w:rsidR="00143C4E" w:rsidRDefault="00143C4E">
      <w:pPr>
        <w:ind w:hanging="450"/>
        <w:rPr>
          <w:rFonts w:ascii="Arial" w:hAnsi="Arial"/>
          <w:b/>
          <w:sz w:val="18"/>
          <w:szCs w:val="18"/>
        </w:rPr>
      </w:pPr>
    </w:p>
    <w:p w14:paraId="2C5C2C90" w14:textId="583DE824" w:rsidR="00270E85" w:rsidRDefault="008B1B57">
      <w:pPr>
        <w:ind w:hanging="45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</w:t>
      </w:r>
      <w:r w:rsidR="008325D5" w:rsidRPr="00C2274A">
        <w:rPr>
          <w:rFonts w:ascii="Arial" w:hAnsi="Arial"/>
          <w:b/>
          <w:sz w:val="18"/>
          <w:szCs w:val="18"/>
        </w:rPr>
        <w:t>P</w:t>
      </w:r>
      <w:r w:rsidR="004768D1" w:rsidRPr="00C2274A">
        <w:rPr>
          <w:rFonts w:ascii="Arial" w:hAnsi="Arial"/>
          <w:b/>
          <w:sz w:val="18"/>
          <w:szCs w:val="18"/>
        </w:rPr>
        <w:t>lease see reverse side</w:t>
      </w:r>
    </w:p>
    <w:p w14:paraId="2C5C2C91" w14:textId="77777777" w:rsidR="0058243D" w:rsidRDefault="0058243D">
      <w:pPr>
        <w:ind w:hanging="450"/>
        <w:rPr>
          <w:rFonts w:ascii="Arial" w:hAnsi="Arial"/>
          <w:b/>
          <w:sz w:val="18"/>
          <w:szCs w:val="18"/>
        </w:rPr>
      </w:pPr>
    </w:p>
    <w:p w14:paraId="2C5C2C92" w14:textId="77777777" w:rsidR="0058243D" w:rsidRDefault="0058243D"/>
    <w:p w14:paraId="2C5C2C93" w14:textId="77777777" w:rsidR="00F47D97" w:rsidRDefault="00F47D97"/>
    <w:tbl>
      <w:tblPr>
        <w:tblW w:w="11252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360"/>
        <w:gridCol w:w="810"/>
        <w:gridCol w:w="720"/>
        <w:gridCol w:w="3204"/>
        <w:gridCol w:w="2178"/>
        <w:gridCol w:w="630"/>
        <w:gridCol w:w="3331"/>
        <w:gridCol w:w="19"/>
      </w:tblGrid>
      <w:tr w:rsidR="004768D1" w:rsidRPr="00C2274A" w14:paraId="2C5C2C96" w14:textId="77777777" w:rsidTr="0065796C">
        <w:tc>
          <w:tcPr>
            <w:tcW w:w="5094" w:type="dxa"/>
            <w:gridSpan w:val="4"/>
          </w:tcPr>
          <w:p w14:paraId="2F98C1D9" w14:textId="77777777" w:rsidR="00AE12DE" w:rsidRDefault="00270E85" w:rsidP="00B7502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/>
                <w:b/>
                <w:sz w:val="18"/>
                <w:szCs w:val="18"/>
              </w:rPr>
              <w:br w:type="page"/>
            </w:r>
            <w:r w:rsidR="004768D1" w:rsidRPr="00C2274A">
              <w:rPr>
                <w:rFonts w:ascii="Arial" w:hAnsi="Arial"/>
                <w:b/>
                <w:sz w:val="18"/>
                <w:szCs w:val="18"/>
              </w:rPr>
              <w:br w:type="page"/>
            </w:r>
            <w:r w:rsidR="004768D1" w:rsidRPr="00C2274A">
              <w:rPr>
                <w:rFonts w:ascii="Arial" w:hAnsi="Arial"/>
                <w:b/>
                <w:sz w:val="18"/>
                <w:szCs w:val="18"/>
              </w:rPr>
              <w:br w:type="page"/>
            </w:r>
            <w:r w:rsidR="004768D1" w:rsidRPr="00C2274A">
              <w:rPr>
                <w:rFonts w:ascii="Arial" w:hAnsi="Arial"/>
                <w:b/>
                <w:sz w:val="18"/>
                <w:szCs w:val="18"/>
              </w:rPr>
              <w:br w:type="page"/>
            </w:r>
            <w:r w:rsidR="004768D1" w:rsidRPr="00C2274A">
              <w:rPr>
                <w:rFonts w:ascii="Arial" w:hAnsi="Arial"/>
                <w:b/>
                <w:sz w:val="18"/>
                <w:szCs w:val="18"/>
              </w:rPr>
              <w:br w:type="page"/>
            </w:r>
          </w:p>
          <w:p w14:paraId="6AEF61FB" w14:textId="77777777" w:rsidR="007415FD" w:rsidRDefault="007415FD" w:rsidP="00B75026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C5C2C94" w14:textId="1A4F2FF4" w:rsidR="004768D1" w:rsidRPr="00C2274A" w:rsidRDefault="005D28DB" w:rsidP="00B75026">
            <w:pPr>
              <w:rPr>
                <w:rFonts w:ascii="Arial" w:hAnsi="Arial"/>
                <w:b/>
                <w:sz w:val="18"/>
                <w:szCs w:val="18"/>
              </w:rPr>
            </w:pPr>
            <w:r w:rsidRPr="00C2274A">
              <w:rPr>
                <w:rFonts w:ascii="Arial" w:hAnsi="Arial"/>
                <w:b/>
                <w:sz w:val="18"/>
                <w:szCs w:val="18"/>
              </w:rPr>
              <w:lastRenderedPageBreak/>
              <w:t>R</w:t>
            </w:r>
            <w:r w:rsidR="004768D1" w:rsidRPr="00C2274A">
              <w:rPr>
                <w:rFonts w:ascii="Arial" w:hAnsi="Arial"/>
                <w:b/>
                <w:sz w:val="18"/>
                <w:szCs w:val="18"/>
              </w:rPr>
              <w:t>equirements for Accounting Majors</w:t>
            </w:r>
          </w:p>
        </w:tc>
        <w:tc>
          <w:tcPr>
            <w:tcW w:w="6158" w:type="dxa"/>
            <w:gridSpan w:val="4"/>
          </w:tcPr>
          <w:p w14:paraId="6EDF0F34" w14:textId="77777777" w:rsidR="0001303F" w:rsidRDefault="0001303F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6F5B657D" w14:textId="77777777" w:rsidR="0001303F" w:rsidRDefault="0001303F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2C5C2C95" w14:textId="7E571F5E" w:rsidR="004768D1" w:rsidRPr="00C2274A" w:rsidRDefault="004768D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lastRenderedPageBreak/>
              <w:t>Page 2</w:t>
            </w:r>
          </w:p>
        </w:tc>
      </w:tr>
      <w:tr w:rsidR="00C2274A" w:rsidRPr="00C2274A" w14:paraId="2C5C2C99" w14:textId="77777777" w:rsidTr="0065796C">
        <w:tc>
          <w:tcPr>
            <w:tcW w:w="5094" w:type="dxa"/>
            <w:gridSpan w:val="4"/>
          </w:tcPr>
          <w:p w14:paraId="2C5C2C97" w14:textId="77777777" w:rsidR="00C2274A" w:rsidRPr="00C2274A" w:rsidRDefault="00C2274A" w:rsidP="00B750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158" w:type="dxa"/>
            <w:gridSpan w:val="4"/>
          </w:tcPr>
          <w:p w14:paraId="2C5C2C98" w14:textId="77777777" w:rsidR="00C2274A" w:rsidRPr="00C2274A" w:rsidRDefault="00C2274A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E852C1" w:rsidRPr="00C2274A" w14:paraId="2C5C2C9D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271" w14:textId="119AA02A" w:rsidR="00C26EB7" w:rsidRDefault="00E852C1" w:rsidP="00507D59">
            <w:pPr>
              <w:rPr>
                <w:rFonts w:ascii="Arial" w:hAnsi="Arial"/>
                <w:b/>
                <w:sz w:val="18"/>
                <w:szCs w:val="18"/>
              </w:rPr>
            </w:pPr>
            <w:r w:rsidRPr="00C26EB7">
              <w:rPr>
                <w:rFonts w:ascii="Arial" w:hAnsi="Arial"/>
                <w:b/>
                <w:sz w:val="18"/>
                <w:szCs w:val="18"/>
              </w:rPr>
              <w:t xml:space="preserve">Accounting Major Area Requirements:  </w:t>
            </w:r>
            <w:r w:rsidR="00C26EB7" w:rsidRPr="00C26EB7">
              <w:rPr>
                <w:rFonts w:ascii="Arial" w:hAnsi="Arial" w:cs="Arial"/>
                <w:b/>
                <w:sz w:val="18"/>
                <w:szCs w:val="18"/>
              </w:rPr>
              <w:t>Students wishing to register for ACG 3101 and AC</w:t>
            </w:r>
            <w:r w:rsidR="00D1658F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C26EB7" w:rsidRPr="00C26EB7">
              <w:rPr>
                <w:rFonts w:ascii="Arial" w:hAnsi="Arial" w:cs="Arial"/>
                <w:b/>
                <w:sz w:val="18"/>
                <w:szCs w:val="18"/>
              </w:rPr>
              <w:t xml:space="preserve"> 3341</w:t>
            </w:r>
            <w:r w:rsidR="00C26E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6EB7" w:rsidRPr="00C26EB7">
              <w:rPr>
                <w:rFonts w:ascii="Arial" w:hAnsi="Arial" w:cs="Arial"/>
                <w:b/>
                <w:sz w:val="18"/>
                <w:szCs w:val="18"/>
              </w:rPr>
              <w:t>must (1) pass both ACG 2021 and ACG 2071 with a grade of B or better</w:t>
            </w:r>
            <w:r w:rsidR="00C26EB7">
              <w:rPr>
                <w:rFonts w:ascii="Arial" w:hAnsi="Arial" w:cs="Arial"/>
                <w:b/>
                <w:sz w:val="18"/>
                <w:szCs w:val="18"/>
              </w:rPr>
              <w:t xml:space="preserve"> (“B-“ is not acceptable)</w:t>
            </w:r>
            <w:r w:rsidR="00C26EB7" w:rsidRPr="00C26EB7">
              <w:rPr>
                <w:rFonts w:ascii="Arial" w:hAnsi="Arial" w:cs="Arial"/>
                <w:b/>
                <w:sz w:val="18"/>
                <w:szCs w:val="18"/>
              </w:rPr>
              <w:t>, and (2) pass an Accounting Competency examination with a grade of 7</w:t>
            </w:r>
            <w:r w:rsidR="007415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26EB7" w:rsidRPr="00C26EB7">
              <w:rPr>
                <w:rFonts w:ascii="Arial" w:hAnsi="Arial" w:cs="Arial"/>
                <w:b/>
                <w:sz w:val="18"/>
                <w:szCs w:val="18"/>
              </w:rPr>
              <w:t>% or better.  For students in the FSU ACG 2021 class, the Accounting Competency material is embedded in the course as a final exam.  Students transferring ACG 2021 (or its acceptable equivalent) from another university must register for the FSU Accounting Competency Exam.</w:t>
            </w:r>
            <w:r w:rsidR="00955983" w:rsidRPr="00C26EB7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C26EB7" w:rsidRPr="00C26EB7">
              <w:rPr>
                <w:rFonts w:ascii="Arial" w:hAnsi="Arial"/>
                <w:b/>
                <w:sz w:val="18"/>
                <w:szCs w:val="18"/>
              </w:rPr>
              <w:t>Please contact</w:t>
            </w:r>
            <w:r w:rsidR="008C51FA">
              <w:rPr>
                <w:rFonts w:ascii="Arial" w:hAnsi="Arial"/>
                <w:b/>
                <w:sz w:val="18"/>
                <w:szCs w:val="18"/>
              </w:rPr>
              <w:t xml:space="preserve"> Accounting Department at </w:t>
            </w:r>
            <w:hyperlink r:id="rId11" w:history="1">
              <w:r w:rsidR="008C51FA" w:rsidRPr="004C630B">
                <w:rPr>
                  <w:rStyle w:val="Hyperlink"/>
                  <w:rFonts w:ascii="Arial" w:hAnsi="Arial"/>
                  <w:b/>
                  <w:sz w:val="18"/>
                  <w:szCs w:val="18"/>
                </w:rPr>
                <w:t>accountingdept@business.fsu.edu</w:t>
              </w:r>
            </w:hyperlink>
            <w:r w:rsidR="008C51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A51A5">
              <w:rPr>
                <w:rFonts w:ascii="Arial" w:hAnsi="Arial"/>
                <w:b/>
                <w:sz w:val="18"/>
                <w:szCs w:val="18"/>
              </w:rPr>
              <w:t>to be added to the Accounting Competency Exam Canvas site</w:t>
            </w:r>
            <w:r w:rsidR="00C26EB7" w:rsidRPr="00C26EB7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11F8D5DB" w14:textId="77777777" w:rsidR="00C26EB7" w:rsidRDefault="00C26EB7" w:rsidP="00507D59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C5C2C9C" w14:textId="3451BE65" w:rsidR="00DB6651" w:rsidRPr="00BE63F0" w:rsidRDefault="00F4602B" w:rsidP="00C26EB7">
            <w:pPr>
              <w:rPr>
                <w:rFonts w:ascii="Arial" w:hAnsi="Arial"/>
                <w:b/>
                <w:sz w:val="18"/>
                <w:szCs w:val="18"/>
              </w:rPr>
            </w:pPr>
            <w:r w:rsidRPr="00C26EB7">
              <w:rPr>
                <w:rFonts w:ascii="Arial" w:hAnsi="Arial"/>
                <w:b/>
                <w:sz w:val="18"/>
                <w:szCs w:val="18"/>
              </w:rPr>
              <w:t>Students</w:t>
            </w:r>
            <w:r w:rsidR="00955983" w:rsidRPr="00C26EB7">
              <w:rPr>
                <w:rFonts w:ascii="Arial" w:hAnsi="Arial"/>
                <w:b/>
                <w:sz w:val="18"/>
                <w:szCs w:val="18"/>
              </w:rPr>
              <w:t xml:space="preserve"> must </w:t>
            </w:r>
            <w:r w:rsidR="00C26EB7">
              <w:rPr>
                <w:rFonts w:ascii="Arial" w:hAnsi="Arial"/>
                <w:b/>
                <w:sz w:val="18"/>
                <w:szCs w:val="18"/>
              </w:rPr>
              <w:t xml:space="preserve">also </w:t>
            </w:r>
            <w:r w:rsidR="00955983" w:rsidRPr="00C26EB7">
              <w:rPr>
                <w:rFonts w:ascii="Arial" w:hAnsi="Arial"/>
                <w:b/>
                <w:sz w:val="18"/>
                <w:szCs w:val="18"/>
              </w:rPr>
              <w:t>earn a “C” or better (</w:t>
            </w:r>
            <w:r w:rsidR="0017353D" w:rsidRPr="00C26EB7">
              <w:rPr>
                <w:rFonts w:ascii="Arial" w:hAnsi="Arial"/>
                <w:b/>
                <w:sz w:val="18"/>
                <w:szCs w:val="18"/>
              </w:rPr>
              <w:t xml:space="preserve">“C-” </w:t>
            </w:r>
            <w:r w:rsidR="00955983" w:rsidRPr="00C26EB7">
              <w:rPr>
                <w:rFonts w:ascii="Arial" w:hAnsi="Arial"/>
                <w:b/>
                <w:sz w:val="18"/>
                <w:szCs w:val="18"/>
              </w:rPr>
              <w:t>is</w:t>
            </w:r>
            <w:r w:rsidRPr="00C26EB7">
              <w:rPr>
                <w:rFonts w:ascii="Arial" w:hAnsi="Arial"/>
                <w:b/>
                <w:sz w:val="18"/>
                <w:szCs w:val="18"/>
              </w:rPr>
              <w:t xml:space="preserve"> not acceptable) in ACG 3101 as a prerequisite for ACG 3111 and all 4000-level ACG and TAX courses.  </w:t>
            </w:r>
            <w:r w:rsidR="00E852C1" w:rsidRPr="00C26EB7">
              <w:rPr>
                <w:rFonts w:ascii="Arial" w:hAnsi="Arial"/>
                <w:b/>
                <w:sz w:val="18"/>
                <w:szCs w:val="18"/>
              </w:rPr>
              <w:t xml:space="preserve">Students must earn a </w:t>
            </w:r>
            <w:r w:rsidR="0017353D" w:rsidRPr="00C26EB7">
              <w:rPr>
                <w:rFonts w:ascii="Arial" w:hAnsi="Arial"/>
                <w:b/>
                <w:sz w:val="18"/>
                <w:szCs w:val="18"/>
              </w:rPr>
              <w:t xml:space="preserve">“C-” </w:t>
            </w:r>
            <w:r w:rsidR="00955983" w:rsidRPr="00C26EB7">
              <w:rPr>
                <w:rFonts w:ascii="Arial" w:hAnsi="Arial"/>
                <w:b/>
                <w:sz w:val="18"/>
                <w:szCs w:val="18"/>
              </w:rPr>
              <w:t>or</w:t>
            </w:r>
            <w:r w:rsidR="00E852C1" w:rsidRPr="00C26EB7">
              <w:rPr>
                <w:rFonts w:ascii="Arial" w:hAnsi="Arial"/>
                <w:b/>
                <w:sz w:val="18"/>
                <w:szCs w:val="18"/>
              </w:rPr>
              <w:t xml:space="preserve"> better in </w:t>
            </w:r>
            <w:r w:rsidR="004C42DB" w:rsidRPr="00C26EB7">
              <w:rPr>
                <w:rFonts w:ascii="Arial" w:hAnsi="Arial"/>
                <w:b/>
                <w:sz w:val="18"/>
                <w:szCs w:val="18"/>
              </w:rPr>
              <w:t xml:space="preserve">all other </w:t>
            </w:r>
            <w:r w:rsidR="00504D18" w:rsidRPr="00C26EB7">
              <w:rPr>
                <w:rFonts w:ascii="Arial" w:hAnsi="Arial"/>
                <w:b/>
                <w:sz w:val="18"/>
                <w:szCs w:val="18"/>
              </w:rPr>
              <w:t>required upper-level accounting courses (pref</w:t>
            </w:r>
            <w:r w:rsidR="00E35130" w:rsidRPr="00C26EB7">
              <w:rPr>
                <w:rFonts w:ascii="Arial" w:hAnsi="Arial"/>
                <w:b/>
                <w:sz w:val="18"/>
                <w:szCs w:val="18"/>
              </w:rPr>
              <w:t>ix</w:t>
            </w:r>
            <w:r w:rsidR="00504D18" w:rsidRPr="00C26EB7">
              <w:rPr>
                <w:rFonts w:ascii="Arial" w:hAnsi="Arial"/>
                <w:b/>
                <w:sz w:val="18"/>
                <w:szCs w:val="18"/>
              </w:rPr>
              <w:t xml:space="preserve"> ACG and TAX)</w:t>
            </w:r>
            <w:r w:rsidR="00507D59" w:rsidRPr="00C26EB7">
              <w:rPr>
                <w:rFonts w:ascii="Arial" w:hAnsi="Arial"/>
                <w:b/>
                <w:sz w:val="18"/>
                <w:szCs w:val="18"/>
              </w:rPr>
              <w:t>.</w:t>
            </w:r>
            <w:r w:rsidR="00E852C1" w:rsidRPr="00C26EB7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EF559B" w:rsidRPr="00C26EB7">
              <w:rPr>
                <w:rFonts w:ascii="Arial" w:hAnsi="Arial"/>
                <w:b/>
                <w:sz w:val="18"/>
                <w:szCs w:val="18"/>
              </w:rPr>
              <w:t>Any s</w:t>
            </w:r>
            <w:r w:rsidR="00504D18" w:rsidRPr="00C26EB7">
              <w:rPr>
                <w:rFonts w:ascii="Arial" w:hAnsi="Arial"/>
                <w:b/>
                <w:sz w:val="18"/>
                <w:szCs w:val="18"/>
              </w:rPr>
              <w:t xml:space="preserve">tudent </w:t>
            </w:r>
            <w:r w:rsidR="00EF559B" w:rsidRPr="00C26EB7">
              <w:rPr>
                <w:rFonts w:ascii="Arial" w:hAnsi="Arial"/>
                <w:b/>
                <w:sz w:val="18"/>
                <w:szCs w:val="18"/>
              </w:rPr>
              <w:t xml:space="preserve">not successful in </w:t>
            </w:r>
            <w:r w:rsidR="000E2775" w:rsidRPr="00C26EB7">
              <w:rPr>
                <w:rFonts w:ascii="Arial" w:hAnsi="Arial"/>
                <w:b/>
                <w:sz w:val="18"/>
                <w:szCs w:val="18"/>
              </w:rPr>
              <w:t xml:space="preserve">obtaining the minimum passing grade within two attempts will not be permitted to </w:t>
            </w:r>
            <w:r w:rsidR="00C26EB7">
              <w:rPr>
                <w:rFonts w:ascii="Arial" w:hAnsi="Arial"/>
                <w:b/>
                <w:sz w:val="18"/>
                <w:szCs w:val="18"/>
              </w:rPr>
              <w:t>e</w:t>
            </w:r>
            <w:r w:rsidR="000E2775" w:rsidRPr="00C26EB7">
              <w:rPr>
                <w:rFonts w:ascii="Arial" w:hAnsi="Arial"/>
                <w:b/>
                <w:sz w:val="18"/>
                <w:szCs w:val="18"/>
              </w:rPr>
              <w:t>nroll in that upper-level accounting course again.</w:t>
            </w:r>
          </w:p>
        </w:tc>
      </w:tr>
      <w:tr w:rsidR="00561155" w:rsidRPr="00C2274A" w14:paraId="2C5C2C9F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1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9E" w14:textId="77777777" w:rsidR="00561155" w:rsidRPr="00C2274A" w:rsidRDefault="00561155" w:rsidP="00507D59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46D9F" w:rsidRPr="00C2274A" w14:paraId="2C5C2CA4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0" w14:textId="77777777" w:rsidR="00946D9F" w:rsidRPr="00C2274A" w:rsidRDefault="00946D9F" w:rsidP="003E023B">
            <w:pPr>
              <w:rPr>
                <w:rFonts w:ascii="Arial" w:hAnsi="Arial"/>
                <w:b/>
                <w:sz w:val="18"/>
                <w:szCs w:val="18"/>
              </w:rPr>
            </w:pPr>
            <w:r w:rsidRPr="00C2274A">
              <w:rPr>
                <w:rFonts w:ascii="Arial" w:hAnsi="Arial"/>
                <w:b/>
                <w:sz w:val="18"/>
                <w:szCs w:val="18"/>
              </w:rPr>
              <w:t>Course #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1" w14:textId="77777777" w:rsidR="00946D9F" w:rsidRPr="00C2274A" w:rsidRDefault="00946D9F" w:rsidP="003E023B">
            <w:pPr>
              <w:rPr>
                <w:rFonts w:ascii="Arial" w:hAnsi="Arial"/>
                <w:b/>
                <w:sz w:val="18"/>
                <w:szCs w:val="18"/>
              </w:rPr>
            </w:pPr>
            <w:r w:rsidRPr="00C2274A">
              <w:rPr>
                <w:rFonts w:ascii="Arial" w:hAnsi="Arial"/>
                <w:b/>
                <w:sz w:val="18"/>
                <w:szCs w:val="18"/>
              </w:rPr>
              <w:t>Course Title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2" w14:textId="77777777" w:rsidR="00946D9F" w:rsidRPr="00C2274A" w:rsidRDefault="00946D9F" w:rsidP="003E023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C2274A">
              <w:rPr>
                <w:rFonts w:ascii="Arial" w:hAnsi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3" w14:textId="77777777" w:rsidR="00946D9F" w:rsidRPr="00C2274A" w:rsidRDefault="00946D9F" w:rsidP="003E023B">
            <w:pPr>
              <w:rPr>
                <w:rFonts w:ascii="Arial" w:hAnsi="Arial"/>
                <w:b/>
                <w:sz w:val="18"/>
                <w:szCs w:val="18"/>
              </w:rPr>
            </w:pPr>
            <w:r w:rsidRPr="00C2274A">
              <w:rPr>
                <w:rFonts w:ascii="Arial" w:hAnsi="Arial"/>
                <w:b/>
                <w:sz w:val="18"/>
                <w:szCs w:val="18"/>
              </w:rPr>
              <w:t>Course Prerequisites</w:t>
            </w:r>
          </w:p>
        </w:tc>
      </w:tr>
      <w:tr w:rsidR="004768D1" w:rsidRPr="00C2274A" w14:paraId="2C5C2CAB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5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A6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A7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3101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8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Financial Accounting and Reporting 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9" w14:textId="77777777" w:rsidR="004768D1" w:rsidRPr="00C2274A" w:rsidRDefault="004768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A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 2021</w:t>
            </w:r>
            <w:r w:rsidR="002479A6" w:rsidRPr="00C2274A">
              <w:rPr>
                <w:rFonts w:ascii="Arial" w:hAnsi="Arial"/>
                <w:sz w:val="18"/>
                <w:szCs w:val="18"/>
              </w:rPr>
              <w:t>, ACG 2071</w:t>
            </w:r>
          </w:p>
        </w:tc>
      </w:tr>
      <w:tr w:rsidR="004768D1" w:rsidRPr="00C2274A" w14:paraId="2C5C2CB2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C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AD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AE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3111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AF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Financial Accounting and Reporting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B0" w14:textId="77777777" w:rsidR="004768D1" w:rsidRPr="00C2274A" w:rsidRDefault="004768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B1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 3101</w:t>
            </w:r>
          </w:p>
        </w:tc>
      </w:tr>
      <w:tr w:rsidR="004768D1" w:rsidRPr="00C2274A" w14:paraId="2C5C2CBA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B3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B4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B5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3341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B6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Cost Ac</w:t>
            </w:r>
            <w:r w:rsidR="007A7E54" w:rsidRPr="00C2274A">
              <w:rPr>
                <w:rFonts w:ascii="Arial" w:hAnsi="Arial"/>
                <w:sz w:val="18"/>
                <w:szCs w:val="18"/>
              </w:rPr>
              <w:t xml:space="preserve">counting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B7" w14:textId="77777777" w:rsidR="004768D1" w:rsidRPr="00C2274A" w:rsidRDefault="004768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B8" w14:textId="77777777" w:rsidR="00D61841" w:rsidRDefault="002479A6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 2021, ACG 2071</w:t>
            </w:r>
          </w:p>
          <w:p w14:paraId="2C5C2CB9" w14:textId="77777777" w:rsidR="004768D1" w:rsidRPr="00C2274A" w:rsidRDefault="00D61841" w:rsidP="00D6184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QMB 3200 </w:t>
            </w:r>
            <w:r w:rsidR="00810083">
              <w:rPr>
                <w:rFonts w:ascii="Arial" w:hAnsi="Arial"/>
                <w:sz w:val="18"/>
                <w:szCs w:val="18"/>
              </w:rPr>
              <w:t>Co</w:t>
            </w:r>
            <w:r>
              <w:rPr>
                <w:rFonts w:ascii="Arial" w:hAnsi="Arial"/>
                <w:sz w:val="18"/>
                <w:szCs w:val="18"/>
              </w:rPr>
              <w:t>-requisite or prerequisite</w:t>
            </w:r>
          </w:p>
        </w:tc>
      </w:tr>
      <w:tr w:rsidR="004768D1" w:rsidRPr="00C2274A" w14:paraId="2C5C2CC1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BB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07F63" w14:textId="77777777" w:rsidR="004768D1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</w:t>
            </w:r>
          </w:p>
          <w:p w14:paraId="264D593C" w14:textId="483FDDCE" w:rsidR="004F357B" w:rsidRDefault="004F35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</w:t>
            </w:r>
          </w:p>
          <w:p w14:paraId="2C5C2CBC" w14:textId="0BEC6B13" w:rsidR="004F357B" w:rsidRPr="00C2274A" w:rsidRDefault="004F35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5D709" w14:textId="6716B675" w:rsidR="004F357B" w:rsidRDefault="004F357B" w:rsidP="004F35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4201</w:t>
            </w:r>
          </w:p>
          <w:p w14:paraId="6D62A043" w14:textId="77777777" w:rsidR="004F357B" w:rsidRDefault="004F357B" w:rsidP="004F357B">
            <w:pPr>
              <w:rPr>
                <w:rFonts w:ascii="Arial" w:hAnsi="Arial"/>
                <w:sz w:val="18"/>
                <w:szCs w:val="18"/>
              </w:rPr>
            </w:pPr>
          </w:p>
          <w:p w14:paraId="2C5C2CBD" w14:textId="70F8DBC2" w:rsidR="004F357B" w:rsidRPr="00C2274A" w:rsidRDefault="004F35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5216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F813" w14:textId="77777777" w:rsidR="004768D1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Financial Accounting and Reporting III</w:t>
            </w:r>
          </w:p>
          <w:p w14:paraId="1F620F0B" w14:textId="77777777" w:rsidR="004F357B" w:rsidRDefault="004F357B">
            <w:pPr>
              <w:rPr>
                <w:rFonts w:ascii="Arial" w:hAnsi="Arial"/>
                <w:sz w:val="18"/>
                <w:szCs w:val="18"/>
              </w:rPr>
            </w:pPr>
          </w:p>
          <w:p w14:paraId="2C5C2CBE" w14:textId="5213035D" w:rsidR="004F357B" w:rsidRPr="00C2274A" w:rsidRDefault="004F35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Advanced Accounting </w:t>
            </w:r>
            <w:r w:rsidRPr="00BA51A5">
              <w:rPr>
                <w:rFonts w:ascii="Arial" w:hAnsi="Arial"/>
                <w:b/>
                <w:i/>
                <w:sz w:val="18"/>
                <w:szCs w:val="18"/>
              </w:rPr>
              <w:t>(for BS/</w:t>
            </w:r>
            <w:proofErr w:type="spellStart"/>
            <w:r w:rsidRPr="00BA51A5">
              <w:rPr>
                <w:rFonts w:ascii="Arial" w:hAnsi="Arial"/>
                <w:b/>
                <w:i/>
                <w:sz w:val="18"/>
                <w:szCs w:val="18"/>
              </w:rPr>
              <w:t>MAcc</w:t>
            </w:r>
            <w:proofErr w:type="spellEnd"/>
            <w:r w:rsidRPr="00BA51A5">
              <w:rPr>
                <w:rFonts w:ascii="Arial" w:hAnsi="Arial"/>
                <w:b/>
                <w:i/>
                <w:sz w:val="18"/>
                <w:szCs w:val="18"/>
              </w:rPr>
              <w:t xml:space="preserve"> students</w:t>
            </w:r>
            <w:r w:rsidR="00917FA6" w:rsidRPr="00BA51A5">
              <w:rPr>
                <w:rFonts w:ascii="Arial" w:hAnsi="Arial"/>
                <w:b/>
                <w:i/>
                <w:sz w:val="18"/>
                <w:szCs w:val="18"/>
              </w:rPr>
              <w:t xml:space="preserve"> only</w:t>
            </w:r>
            <w:r w:rsidRPr="00BA51A5">
              <w:rPr>
                <w:rFonts w:ascii="Arial" w:hAnsi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A67" w14:textId="77777777" w:rsidR="004F357B" w:rsidRDefault="004F357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C5C2CBF" w14:textId="7275A8E0" w:rsidR="004768D1" w:rsidRPr="00C2274A" w:rsidRDefault="004768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29D" w14:textId="77777777" w:rsidR="004F357B" w:rsidRDefault="004F357B" w:rsidP="00A36F89">
            <w:pPr>
              <w:rPr>
                <w:rFonts w:ascii="Arial" w:hAnsi="Arial"/>
                <w:sz w:val="18"/>
                <w:szCs w:val="18"/>
              </w:rPr>
            </w:pPr>
          </w:p>
          <w:p w14:paraId="2C5C2CC0" w14:textId="781C3329" w:rsidR="004768D1" w:rsidRPr="00C2274A" w:rsidRDefault="00F93C0B" w:rsidP="00A36F89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 xml:space="preserve">ACG </w:t>
            </w:r>
            <w:r w:rsidR="00320653" w:rsidRPr="00C2274A">
              <w:rPr>
                <w:rFonts w:ascii="Arial" w:hAnsi="Arial"/>
                <w:sz w:val="18"/>
                <w:szCs w:val="18"/>
              </w:rPr>
              <w:t>3111</w:t>
            </w:r>
          </w:p>
        </w:tc>
      </w:tr>
      <w:tr w:rsidR="004768D1" w:rsidRPr="00C2274A" w14:paraId="2C5C2CC8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C2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C3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C4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4401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C5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Accounting Information Systems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C6" w14:textId="77777777" w:rsidR="004768D1" w:rsidRPr="00C2274A" w:rsidRDefault="004768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C7" w14:textId="77777777" w:rsidR="004768D1" w:rsidRPr="00C2274A" w:rsidRDefault="00F93C0B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 xml:space="preserve">ACG </w:t>
            </w:r>
            <w:r w:rsidR="007032D9" w:rsidRPr="00C2274A">
              <w:rPr>
                <w:rFonts w:ascii="Arial" w:hAnsi="Arial"/>
                <w:sz w:val="18"/>
                <w:szCs w:val="18"/>
              </w:rPr>
              <w:t>3101,</w:t>
            </w:r>
            <w:r w:rsidR="00320653" w:rsidRPr="00C2274A">
              <w:rPr>
                <w:rFonts w:ascii="Arial" w:hAnsi="Arial"/>
                <w:sz w:val="18"/>
                <w:szCs w:val="18"/>
              </w:rPr>
              <w:t xml:space="preserve"> </w:t>
            </w:r>
            <w:r w:rsidR="003E2426" w:rsidRPr="00C2274A">
              <w:rPr>
                <w:rFonts w:ascii="Arial" w:hAnsi="Arial"/>
                <w:sz w:val="18"/>
                <w:szCs w:val="18"/>
              </w:rPr>
              <w:t xml:space="preserve">CGS </w:t>
            </w:r>
            <w:r w:rsidR="002479A6" w:rsidRPr="00C2274A">
              <w:rPr>
                <w:rFonts w:ascii="Arial" w:hAnsi="Arial"/>
                <w:sz w:val="18"/>
                <w:szCs w:val="18"/>
              </w:rPr>
              <w:t>2518</w:t>
            </w:r>
          </w:p>
        </w:tc>
      </w:tr>
      <w:tr w:rsidR="004768D1" w:rsidRPr="00C2274A" w14:paraId="2C5C2CCF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C9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CA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CB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4632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CC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Auditing Theory and Application 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CD" w14:textId="77777777" w:rsidR="004768D1" w:rsidRPr="00C2274A" w:rsidRDefault="004768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CE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 3111, ACG 4401</w:t>
            </w:r>
          </w:p>
        </w:tc>
      </w:tr>
      <w:tr w:rsidR="004768D1" w:rsidRPr="00C2274A" w14:paraId="2C5C2CD6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D0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2CD1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TAX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2CD2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4001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D3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Federal Tax Accounting 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D4" w14:textId="77777777" w:rsidR="004768D1" w:rsidRPr="00C2274A" w:rsidRDefault="004768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D5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ACG 3101</w:t>
            </w:r>
          </w:p>
        </w:tc>
      </w:tr>
      <w:tr w:rsidR="00B442CE" w:rsidRPr="00C2274A" w14:paraId="2C5C2CDD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D7" w14:textId="77777777" w:rsidR="00B442CE" w:rsidRPr="00C2274A" w:rsidRDefault="00B442CE" w:rsidP="00CD0F0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CF961" w14:textId="77777777" w:rsidR="00B442CE" w:rsidRDefault="00B442CE" w:rsidP="004C2715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TAX</w:t>
            </w:r>
          </w:p>
          <w:p w14:paraId="7F4C8D76" w14:textId="3400AB12" w:rsidR="004F357B" w:rsidRDefault="004F357B" w:rsidP="004C271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</w:t>
            </w:r>
          </w:p>
          <w:p w14:paraId="2C5C2CD8" w14:textId="1EA84B9F" w:rsidR="004F357B" w:rsidRPr="00C2274A" w:rsidRDefault="004F357B" w:rsidP="004C271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301D" w14:textId="77777777" w:rsidR="00B442CE" w:rsidRDefault="00B442CE" w:rsidP="004F357B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4011</w:t>
            </w:r>
          </w:p>
          <w:p w14:paraId="7C8C9553" w14:textId="77777777" w:rsidR="004F357B" w:rsidRDefault="004F357B" w:rsidP="004F357B">
            <w:pPr>
              <w:rPr>
                <w:rFonts w:ascii="Arial" w:hAnsi="Arial"/>
                <w:sz w:val="18"/>
                <w:szCs w:val="18"/>
              </w:rPr>
            </w:pPr>
          </w:p>
          <w:p w14:paraId="2C5C2CD9" w14:textId="406FBEC9" w:rsidR="004F357B" w:rsidRPr="00C2274A" w:rsidRDefault="004F357B" w:rsidP="004F35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5015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CFF" w14:textId="77777777" w:rsidR="00B442CE" w:rsidRDefault="00B442CE" w:rsidP="00CD0F0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Federal Tax Accounting II</w:t>
            </w:r>
          </w:p>
          <w:p w14:paraId="45B29C67" w14:textId="77777777" w:rsidR="004F357B" w:rsidRDefault="004F357B" w:rsidP="00CD0F01">
            <w:pPr>
              <w:rPr>
                <w:rFonts w:ascii="Arial" w:hAnsi="Arial"/>
                <w:sz w:val="18"/>
                <w:szCs w:val="18"/>
              </w:rPr>
            </w:pPr>
          </w:p>
          <w:p w14:paraId="2C5C2CDA" w14:textId="279645D5" w:rsidR="004F357B" w:rsidRPr="00C2274A" w:rsidRDefault="004F357B" w:rsidP="00CD0F0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Federal Income Tax Accounting II</w:t>
            </w:r>
            <w:r w:rsidR="00917FA6">
              <w:rPr>
                <w:rFonts w:ascii="Arial" w:hAnsi="Arial"/>
                <w:sz w:val="18"/>
                <w:szCs w:val="18"/>
              </w:rPr>
              <w:t xml:space="preserve"> </w:t>
            </w:r>
            <w:r w:rsidR="00917FA6" w:rsidRPr="00BA51A5">
              <w:rPr>
                <w:rFonts w:ascii="Arial" w:hAnsi="Arial"/>
                <w:b/>
                <w:i/>
                <w:sz w:val="18"/>
                <w:szCs w:val="18"/>
              </w:rPr>
              <w:t>(for BS/</w:t>
            </w:r>
            <w:proofErr w:type="spellStart"/>
            <w:r w:rsidR="00917FA6" w:rsidRPr="00BA51A5">
              <w:rPr>
                <w:rFonts w:ascii="Arial" w:hAnsi="Arial"/>
                <w:b/>
                <w:i/>
                <w:sz w:val="18"/>
                <w:szCs w:val="18"/>
              </w:rPr>
              <w:t>MAcc</w:t>
            </w:r>
            <w:proofErr w:type="spellEnd"/>
            <w:r w:rsidR="00917FA6" w:rsidRPr="00BA51A5">
              <w:rPr>
                <w:rFonts w:ascii="Arial" w:hAnsi="Arial"/>
                <w:b/>
                <w:i/>
                <w:sz w:val="18"/>
                <w:szCs w:val="18"/>
              </w:rPr>
              <w:t xml:space="preserve"> students only)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4E5" w14:textId="77777777" w:rsidR="004F357B" w:rsidRDefault="004F357B" w:rsidP="002479A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C5C2CDB" w14:textId="536F4F64" w:rsidR="00B442CE" w:rsidRPr="00C2274A" w:rsidRDefault="00B442CE" w:rsidP="002479A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AF1" w14:textId="77777777" w:rsidR="004F357B" w:rsidRDefault="004F357B" w:rsidP="00CD0F01">
            <w:pPr>
              <w:rPr>
                <w:rFonts w:ascii="Arial" w:hAnsi="Arial"/>
                <w:sz w:val="18"/>
                <w:szCs w:val="18"/>
              </w:rPr>
            </w:pPr>
          </w:p>
          <w:p w14:paraId="2C5C2CDC" w14:textId="36082FAA" w:rsidR="00B442CE" w:rsidRPr="00C2274A" w:rsidRDefault="00B442CE" w:rsidP="00CD0F0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TAX 4001</w:t>
            </w:r>
          </w:p>
        </w:tc>
      </w:tr>
      <w:tr w:rsidR="004768D1" w:rsidRPr="00C2274A" w14:paraId="2C5C2CE4" w14:textId="77777777" w:rsidTr="006579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CDE" w14:textId="77777777" w:rsidR="004768D1" w:rsidRPr="00C2274A" w:rsidRDefault="004768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96C29" w14:textId="77777777" w:rsidR="004768D1" w:rsidRDefault="004768D1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BUL</w:t>
            </w:r>
          </w:p>
          <w:p w14:paraId="041421AA" w14:textId="5A5A62C2" w:rsidR="004F357B" w:rsidRDefault="004F35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</w:t>
            </w:r>
          </w:p>
          <w:p w14:paraId="2C5C2CDF" w14:textId="1EFDD0A1" w:rsidR="004F357B" w:rsidRPr="00C2274A" w:rsidRDefault="004F35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708B6" w14:textId="77777777" w:rsidR="004768D1" w:rsidRDefault="004768D1" w:rsidP="00186D88">
            <w:pPr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335</w:t>
            </w:r>
            <w:r w:rsidR="00186D88">
              <w:rPr>
                <w:rFonts w:ascii="Arial" w:hAnsi="Arial"/>
                <w:sz w:val="18"/>
                <w:szCs w:val="18"/>
              </w:rPr>
              <w:t>1</w:t>
            </w:r>
          </w:p>
          <w:p w14:paraId="33690C9F" w14:textId="77777777" w:rsidR="004F357B" w:rsidRDefault="004F357B" w:rsidP="00186D88">
            <w:pPr>
              <w:rPr>
                <w:rFonts w:ascii="Arial" w:hAnsi="Arial"/>
                <w:sz w:val="18"/>
                <w:szCs w:val="18"/>
              </w:rPr>
            </w:pPr>
          </w:p>
          <w:p w14:paraId="2C5C2CE0" w14:textId="2473D4BC" w:rsidR="004F357B" w:rsidRPr="00C2274A" w:rsidRDefault="004F357B" w:rsidP="00186D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5335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B35D" w14:textId="77777777" w:rsidR="004768D1" w:rsidRDefault="00186D88" w:rsidP="00186D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UCC and Law for Accountancy</w:t>
            </w:r>
          </w:p>
          <w:p w14:paraId="3176E294" w14:textId="77777777" w:rsidR="004F357B" w:rsidRDefault="004F357B" w:rsidP="00186D88">
            <w:pPr>
              <w:rPr>
                <w:rFonts w:ascii="Arial" w:hAnsi="Arial"/>
                <w:sz w:val="18"/>
                <w:szCs w:val="18"/>
              </w:rPr>
            </w:pPr>
          </w:p>
          <w:p w14:paraId="2C5C2CE1" w14:textId="3B916898" w:rsidR="004F357B" w:rsidRPr="00C2274A" w:rsidRDefault="004F357B" w:rsidP="00186D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Law for Accountancy</w:t>
            </w:r>
            <w:r w:rsidR="00917FA6">
              <w:rPr>
                <w:rFonts w:ascii="Arial" w:hAnsi="Arial"/>
                <w:sz w:val="18"/>
                <w:szCs w:val="18"/>
              </w:rPr>
              <w:t xml:space="preserve"> </w:t>
            </w:r>
            <w:r w:rsidR="00917FA6" w:rsidRPr="00BA51A5">
              <w:rPr>
                <w:rFonts w:ascii="Arial" w:hAnsi="Arial"/>
                <w:b/>
                <w:i/>
                <w:sz w:val="18"/>
                <w:szCs w:val="18"/>
              </w:rPr>
              <w:t>(for BS/</w:t>
            </w:r>
            <w:proofErr w:type="spellStart"/>
            <w:r w:rsidR="00917FA6" w:rsidRPr="00BA51A5">
              <w:rPr>
                <w:rFonts w:ascii="Arial" w:hAnsi="Arial"/>
                <w:b/>
                <w:i/>
                <w:sz w:val="18"/>
                <w:szCs w:val="18"/>
              </w:rPr>
              <w:t>MAcc</w:t>
            </w:r>
            <w:proofErr w:type="spellEnd"/>
            <w:r w:rsidR="00917FA6" w:rsidRPr="00BA51A5">
              <w:rPr>
                <w:rFonts w:ascii="Arial" w:hAnsi="Arial"/>
                <w:b/>
                <w:i/>
                <w:sz w:val="18"/>
                <w:szCs w:val="18"/>
              </w:rPr>
              <w:t xml:space="preserve"> students only)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D94" w14:textId="77777777" w:rsidR="004F357B" w:rsidRDefault="004F357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C5C2CE2" w14:textId="7BE7193F" w:rsidR="004768D1" w:rsidRPr="00C2274A" w:rsidRDefault="004768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274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CF2" w14:textId="77777777" w:rsidR="004F357B" w:rsidRDefault="004F357B">
            <w:pPr>
              <w:rPr>
                <w:rFonts w:ascii="Arial" w:hAnsi="Arial"/>
                <w:sz w:val="18"/>
                <w:szCs w:val="18"/>
              </w:rPr>
            </w:pPr>
          </w:p>
          <w:p w14:paraId="2C5C2CE3" w14:textId="5504652B" w:rsidR="004768D1" w:rsidRPr="00C2274A" w:rsidRDefault="00186D8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</w:tr>
    </w:tbl>
    <w:p w14:paraId="2FC47F05" w14:textId="77777777" w:rsidR="00C26EB7" w:rsidRDefault="00C26EB7">
      <w:pPr>
        <w:ind w:left="-450"/>
        <w:rPr>
          <w:rFonts w:ascii="Arial" w:hAnsi="Arial"/>
          <w:b/>
          <w:sz w:val="18"/>
          <w:szCs w:val="18"/>
        </w:rPr>
      </w:pPr>
    </w:p>
    <w:p w14:paraId="2C5C2CE6" w14:textId="58D99F63" w:rsidR="004768D1" w:rsidRPr="001E3980" w:rsidRDefault="004768D1">
      <w:pPr>
        <w:ind w:left="-450"/>
        <w:rPr>
          <w:rFonts w:ascii="Arial" w:hAnsi="Arial"/>
          <w:b/>
          <w:sz w:val="18"/>
          <w:szCs w:val="18"/>
        </w:rPr>
      </w:pPr>
      <w:r w:rsidRPr="001E3980">
        <w:rPr>
          <w:rFonts w:ascii="Arial" w:hAnsi="Arial"/>
          <w:b/>
          <w:sz w:val="18"/>
          <w:szCs w:val="18"/>
        </w:rPr>
        <w:t>Additional Information:</w:t>
      </w:r>
    </w:p>
    <w:p w14:paraId="2C5C2CE8" w14:textId="77777777" w:rsidR="004768D1" w:rsidRPr="001E3980" w:rsidRDefault="004768D1">
      <w:pPr>
        <w:numPr>
          <w:ilvl w:val="12"/>
          <w:numId w:val="0"/>
        </w:numPr>
        <w:ind w:left="360" w:hanging="360"/>
        <w:rPr>
          <w:rFonts w:ascii="Arial" w:hAnsi="Arial"/>
          <w:sz w:val="18"/>
          <w:szCs w:val="18"/>
        </w:rPr>
      </w:pPr>
    </w:p>
    <w:p w14:paraId="2C5C2CE9" w14:textId="0E10B422" w:rsidR="004768D1" w:rsidRPr="001E3980" w:rsidRDefault="004768D1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 w:rsidRPr="001E3980">
        <w:rPr>
          <w:rFonts w:ascii="Arial" w:hAnsi="Arial"/>
          <w:sz w:val="18"/>
          <w:szCs w:val="18"/>
        </w:rPr>
        <w:t>Students should plan to take all upper-level accounting courses in residence at FSU</w:t>
      </w:r>
      <w:r w:rsidR="0077645E">
        <w:rPr>
          <w:rFonts w:ascii="Arial" w:hAnsi="Arial"/>
          <w:sz w:val="18"/>
          <w:szCs w:val="18"/>
        </w:rPr>
        <w:t>.  There is no</w:t>
      </w:r>
      <w:r w:rsidR="001F0F7F">
        <w:rPr>
          <w:rFonts w:ascii="Arial" w:hAnsi="Arial"/>
          <w:sz w:val="18"/>
          <w:szCs w:val="18"/>
        </w:rPr>
        <w:t xml:space="preserve"> guarante</w:t>
      </w:r>
      <w:r w:rsidR="00B732AD">
        <w:rPr>
          <w:rFonts w:ascii="Arial" w:hAnsi="Arial"/>
          <w:sz w:val="18"/>
          <w:szCs w:val="18"/>
        </w:rPr>
        <w:t>e</w:t>
      </w:r>
      <w:r w:rsidR="001F0F7F">
        <w:rPr>
          <w:rFonts w:ascii="Arial" w:hAnsi="Arial"/>
          <w:sz w:val="18"/>
          <w:szCs w:val="18"/>
        </w:rPr>
        <w:t xml:space="preserve"> </w:t>
      </w:r>
      <w:r w:rsidR="00B732AD">
        <w:rPr>
          <w:rFonts w:ascii="Arial" w:hAnsi="Arial"/>
          <w:sz w:val="18"/>
          <w:szCs w:val="18"/>
        </w:rPr>
        <w:t>all classes will</w:t>
      </w:r>
      <w:r w:rsidR="001F0F7F">
        <w:rPr>
          <w:rFonts w:ascii="Arial" w:hAnsi="Arial"/>
          <w:sz w:val="18"/>
          <w:szCs w:val="18"/>
        </w:rPr>
        <w:t xml:space="preserve"> be offered during summer terms.</w:t>
      </w:r>
    </w:p>
    <w:p w14:paraId="2C5C2CEA" w14:textId="77777777" w:rsidR="004768D1" w:rsidRPr="001E3980" w:rsidRDefault="004768D1">
      <w:pPr>
        <w:numPr>
          <w:ilvl w:val="12"/>
          <w:numId w:val="0"/>
        </w:numPr>
        <w:ind w:left="360" w:hanging="360"/>
        <w:rPr>
          <w:rFonts w:ascii="Arial" w:hAnsi="Arial"/>
          <w:sz w:val="18"/>
          <w:szCs w:val="18"/>
        </w:rPr>
      </w:pPr>
    </w:p>
    <w:p w14:paraId="2C5C2CEB" w14:textId="5C5A8A35" w:rsidR="004768D1" w:rsidRDefault="004768D1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1E3980">
        <w:rPr>
          <w:rFonts w:ascii="Arial" w:hAnsi="Arial"/>
          <w:b/>
          <w:sz w:val="18"/>
          <w:szCs w:val="18"/>
        </w:rPr>
        <w:t>In addition to the requirements outlined above, each student must complete all University-wide requirements for graduation.</w:t>
      </w:r>
      <w:r w:rsidRPr="001E3980">
        <w:rPr>
          <w:rFonts w:ascii="Arial" w:hAnsi="Arial"/>
          <w:sz w:val="18"/>
          <w:szCs w:val="18"/>
        </w:rPr>
        <w:t xml:space="preserve">  These requirements include</w:t>
      </w:r>
      <w:r w:rsidR="009D23F5">
        <w:rPr>
          <w:rFonts w:ascii="Arial" w:hAnsi="Arial"/>
          <w:sz w:val="18"/>
          <w:szCs w:val="18"/>
        </w:rPr>
        <w:t xml:space="preserve"> </w:t>
      </w:r>
      <w:proofErr w:type="spellStart"/>
      <w:r w:rsidR="009D23F5">
        <w:rPr>
          <w:rFonts w:ascii="Arial" w:hAnsi="Arial"/>
          <w:sz w:val="18"/>
          <w:szCs w:val="18"/>
        </w:rPr>
        <w:t>CoreFSU</w:t>
      </w:r>
      <w:proofErr w:type="spellEnd"/>
      <w:r w:rsidR="009D23F5">
        <w:rPr>
          <w:rFonts w:ascii="Arial" w:hAnsi="Arial"/>
          <w:sz w:val="18"/>
          <w:szCs w:val="18"/>
        </w:rPr>
        <w:t>,</w:t>
      </w:r>
      <w:r w:rsidR="00F8173E">
        <w:rPr>
          <w:rFonts w:ascii="Arial" w:hAnsi="Arial"/>
          <w:sz w:val="18"/>
          <w:szCs w:val="18"/>
        </w:rPr>
        <w:t xml:space="preserve"> </w:t>
      </w:r>
      <w:r w:rsidRPr="001E3980">
        <w:rPr>
          <w:rFonts w:ascii="Arial" w:hAnsi="Arial"/>
          <w:sz w:val="18"/>
          <w:szCs w:val="18"/>
        </w:rPr>
        <w:t xml:space="preserve">summer </w:t>
      </w:r>
      <w:r w:rsidR="009C0B7B">
        <w:rPr>
          <w:rFonts w:ascii="Arial" w:hAnsi="Arial"/>
          <w:sz w:val="18"/>
          <w:szCs w:val="18"/>
        </w:rPr>
        <w:t>residency</w:t>
      </w:r>
      <w:r w:rsidRPr="001E3980">
        <w:rPr>
          <w:rFonts w:ascii="Arial" w:hAnsi="Arial"/>
          <w:sz w:val="18"/>
          <w:szCs w:val="18"/>
        </w:rPr>
        <w:t>, FSU residency</w:t>
      </w:r>
      <w:r w:rsidR="00231CFC">
        <w:rPr>
          <w:rFonts w:ascii="Arial" w:hAnsi="Arial"/>
          <w:sz w:val="18"/>
          <w:szCs w:val="18"/>
        </w:rPr>
        <w:t>,</w:t>
      </w:r>
      <w:r w:rsidRPr="001E3980">
        <w:rPr>
          <w:rFonts w:ascii="Arial" w:hAnsi="Arial"/>
          <w:sz w:val="18"/>
          <w:szCs w:val="18"/>
        </w:rPr>
        <w:t xml:space="preserve"> total hours</w:t>
      </w:r>
      <w:r w:rsidR="00F8173E">
        <w:rPr>
          <w:rFonts w:ascii="Arial" w:hAnsi="Arial"/>
          <w:sz w:val="18"/>
          <w:szCs w:val="18"/>
        </w:rPr>
        <w:t>,</w:t>
      </w:r>
      <w:r w:rsidR="00231CFC">
        <w:rPr>
          <w:rFonts w:ascii="Arial" w:hAnsi="Arial"/>
          <w:sz w:val="18"/>
          <w:szCs w:val="18"/>
        </w:rPr>
        <w:t xml:space="preserve"> and</w:t>
      </w:r>
      <w:r w:rsidR="00F8173E">
        <w:rPr>
          <w:rFonts w:ascii="Arial" w:hAnsi="Arial"/>
          <w:sz w:val="18"/>
          <w:szCs w:val="18"/>
        </w:rPr>
        <w:t xml:space="preserve"> </w:t>
      </w:r>
      <w:r w:rsidR="00AE5216">
        <w:rPr>
          <w:rFonts w:ascii="Arial" w:hAnsi="Arial"/>
          <w:sz w:val="18"/>
          <w:szCs w:val="18"/>
        </w:rPr>
        <w:t xml:space="preserve">Civic Literacy. </w:t>
      </w:r>
      <w:r w:rsidR="00AE5216" w:rsidRPr="001E3980">
        <w:rPr>
          <w:rFonts w:ascii="Arial" w:hAnsi="Arial"/>
          <w:sz w:val="18"/>
          <w:szCs w:val="18"/>
        </w:rPr>
        <w:t>R</w:t>
      </w:r>
      <w:r w:rsidRPr="001E3980">
        <w:rPr>
          <w:rFonts w:ascii="Arial" w:hAnsi="Arial"/>
          <w:sz w:val="18"/>
          <w:szCs w:val="18"/>
        </w:rPr>
        <w:t>equirement</w:t>
      </w:r>
      <w:r w:rsidR="009946B5">
        <w:rPr>
          <w:rFonts w:ascii="Arial" w:hAnsi="Arial"/>
          <w:sz w:val="18"/>
          <w:szCs w:val="18"/>
        </w:rPr>
        <w:t xml:space="preserve">.  </w:t>
      </w:r>
      <w:r w:rsidR="009C0B7B">
        <w:rPr>
          <w:rFonts w:ascii="Arial" w:hAnsi="Arial"/>
          <w:sz w:val="18"/>
          <w:szCs w:val="18"/>
        </w:rPr>
        <w:t>University-wide requirements may differ</w:t>
      </w:r>
      <w:r w:rsidR="009946B5">
        <w:rPr>
          <w:rFonts w:ascii="Arial" w:hAnsi="Arial"/>
          <w:sz w:val="18"/>
          <w:szCs w:val="18"/>
        </w:rPr>
        <w:t xml:space="preserve"> by admissions t</w:t>
      </w:r>
      <w:r w:rsidR="00C401F4">
        <w:rPr>
          <w:rFonts w:ascii="Arial" w:hAnsi="Arial"/>
          <w:sz w:val="18"/>
          <w:szCs w:val="18"/>
        </w:rPr>
        <w:t>erm to FSU,</w:t>
      </w:r>
      <w:r w:rsidR="009C0B7B">
        <w:rPr>
          <w:rFonts w:ascii="Arial" w:hAnsi="Arial"/>
          <w:sz w:val="18"/>
          <w:szCs w:val="18"/>
        </w:rPr>
        <w:t xml:space="preserve"> please consult your advisor.</w:t>
      </w:r>
    </w:p>
    <w:p w14:paraId="2C5C2CEC" w14:textId="77777777" w:rsidR="00D96C76" w:rsidRDefault="00D96C76" w:rsidP="00D96C76">
      <w:pPr>
        <w:rPr>
          <w:rFonts w:ascii="Arial" w:hAnsi="Arial"/>
          <w:sz w:val="18"/>
          <w:szCs w:val="18"/>
        </w:rPr>
      </w:pPr>
    </w:p>
    <w:p w14:paraId="2C5C2CED" w14:textId="350BA1E9" w:rsidR="00D96C76" w:rsidRPr="001E3980" w:rsidRDefault="00D96C76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Students </w:t>
      </w:r>
      <w:r>
        <w:rPr>
          <w:rFonts w:ascii="Arial" w:hAnsi="Arial"/>
          <w:b/>
          <w:sz w:val="18"/>
          <w:szCs w:val="18"/>
        </w:rPr>
        <w:t>must not</w:t>
      </w:r>
      <w:r>
        <w:rPr>
          <w:rFonts w:ascii="Arial" w:hAnsi="Arial"/>
          <w:sz w:val="18"/>
          <w:szCs w:val="18"/>
        </w:rPr>
        <w:t xml:space="preserve"> enroll in </w:t>
      </w:r>
      <w:r>
        <w:rPr>
          <w:rFonts w:ascii="Arial" w:hAnsi="Arial"/>
          <w:b/>
          <w:sz w:val="18"/>
          <w:szCs w:val="18"/>
        </w:rPr>
        <w:t>any</w:t>
      </w:r>
      <w:r>
        <w:rPr>
          <w:rFonts w:ascii="Arial" w:hAnsi="Arial"/>
          <w:sz w:val="18"/>
          <w:szCs w:val="18"/>
        </w:rPr>
        <w:t xml:space="preserve"> course at another institution without first receiving approval from the College of Business Undergraduate Programs Office. Once enrolled at FSU, students should plan to take their upper-level business courses at FSU.  Any exception to this policy must be approved in advance by the College of Business Undergraduate Programs Office.  Transfer of upper-level business courses completed prior to enrolling at FSU must be from business colleges at other 4-year, </w:t>
      </w:r>
      <w:r w:rsidR="007415FD">
        <w:rPr>
          <w:rFonts w:ascii="Arial" w:hAnsi="Arial"/>
          <w:sz w:val="18"/>
          <w:szCs w:val="18"/>
        </w:rPr>
        <w:t>AACSB-</w:t>
      </w:r>
      <w:r>
        <w:rPr>
          <w:rFonts w:ascii="Arial" w:hAnsi="Arial"/>
          <w:sz w:val="18"/>
          <w:szCs w:val="18"/>
        </w:rPr>
        <w:t>accredited institutions.  These courses must be approved for course substitution by the College of Business Undergraduate Programs Office upon entering FSU.</w:t>
      </w:r>
    </w:p>
    <w:p w14:paraId="2C5C2CEE" w14:textId="77777777" w:rsidR="004768D1" w:rsidRPr="001E3980" w:rsidRDefault="004768D1">
      <w:pPr>
        <w:numPr>
          <w:ilvl w:val="12"/>
          <w:numId w:val="0"/>
        </w:numPr>
        <w:ind w:left="360" w:hanging="360"/>
        <w:rPr>
          <w:rFonts w:ascii="Arial" w:hAnsi="Arial"/>
          <w:sz w:val="18"/>
          <w:szCs w:val="18"/>
        </w:rPr>
      </w:pPr>
    </w:p>
    <w:p w14:paraId="2C5C2CF4" w14:textId="3F5B6DC4" w:rsidR="00D96C76" w:rsidRPr="00C26EB7" w:rsidRDefault="00C639C2" w:rsidP="00C26EB7">
      <w:pPr>
        <w:numPr>
          <w:ilvl w:val="0"/>
          <w:numId w:val="4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Requirements for CPA licensure vary by jurisdiction. The FSU </w:t>
      </w:r>
      <w:r w:rsidRPr="009869F2">
        <w:rPr>
          <w:rFonts w:ascii="Arial" w:hAnsi="Arial"/>
          <w:b/>
          <w:sz w:val="18"/>
          <w:szCs w:val="18"/>
        </w:rPr>
        <w:t>Master of Accounting (</w:t>
      </w:r>
      <w:proofErr w:type="spellStart"/>
      <w:r w:rsidRPr="009869F2">
        <w:rPr>
          <w:rFonts w:ascii="Arial" w:hAnsi="Arial"/>
          <w:b/>
          <w:sz w:val="18"/>
          <w:szCs w:val="18"/>
        </w:rPr>
        <w:t>MAcc</w:t>
      </w:r>
      <w:proofErr w:type="spellEnd"/>
      <w:r w:rsidRPr="009869F2">
        <w:rPr>
          <w:rFonts w:ascii="Arial" w:hAnsi="Arial"/>
          <w:b/>
          <w:sz w:val="18"/>
          <w:szCs w:val="18"/>
        </w:rPr>
        <w:t xml:space="preserve"> program)</w:t>
      </w:r>
      <w:r>
        <w:rPr>
          <w:rFonts w:ascii="Arial" w:hAnsi="Arial"/>
          <w:sz w:val="18"/>
          <w:szCs w:val="18"/>
        </w:rPr>
        <w:t xml:space="preserve"> satisfies the educational requirements </w:t>
      </w:r>
      <w:r w:rsidR="008C0030">
        <w:rPr>
          <w:rFonts w:ascii="Arial" w:hAnsi="Arial"/>
          <w:sz w:val="18"/>
          <w:szCs w:val="18"/>
        </w:rPr>
        <w:t>for</w:t>
      </w:r>
      <w:r>
        <w:rPr>
          <w:rFonts w:ascii="Arial" w:hAnsi="Arial"/>
          <w:sz w:val="18"/>
          <w:szCs w:val="18"/>
        </w:rPr>
        <w:t xml:space="preserve"> </w:t>
      </w:r>
      <w:r w:rsidR="008D49EA">
        <w:rPr>
          <w:rFonts w:ascii="Arial" w:hAnsi="Arial"/>
          <w:sz w:val="18"/>
          <w:szCs w:val="18"/>
        </w:rPr>
        <w:t xml:space="preserve">licensure for </w:t>
      </w:r>
      <w:r>
        <w:rPr>
          <w:rFonts w:ascii="Arial" w:hAnsi="Arial"/>
          <w:sz w:val="18"/>
          <w:szCs w:val="18"/>
        </w:rPr>
        <w:t>most jurisdictions.</w:t>
      </w:r>
      <w:r w:rsidR="00AC638F" w:rsidRPr="00C26EB7">
        <w:rPr>
          <w:rFonts w:ascii="Arial" w:hAnsi="Arial"/>
          <w:sz w:val="18"/>
          <w:szCs w:val="18"/>
        </w:rPr>
        <w:t xml:space="preserve"> </w:t>
      </w:r>
      <w:r w:rsidR="0058243D" w:rsidRPr="00C26EB7">
        <w:rPr>
          <w:rFonts w:ascii="Arial" w:hAnsi="Arial"/>
          <w:sz w:val="18"/>
          <w:szCs w:val="18"/>
        </w:rPr>
        <w:t>A 3.0 GPA i</w:t>
      </w:r>
      <w:r w:rsidR="00D96C76" w:rsidRPr="00C26EB7">
        <w:rPr>
          <w:rFonts w:ascii="Arial" w:hAnsi="Arial"/>
          <w:sz w:val="18"/>
          <w:szCs w:val="18"/>
        </w:rPr>
        <w:t>n upper-division coursework</w:t>
      </w:r>
      <w:r w:rsidR="0058243D" w:rsidRPr="00C26EB7">
        <w:rPr>
          <w:rFonts w:ascii="Arial" w:hAnsi="Arial"/>
          <w:sz w:val="18"/>
          <w:szCs w:val="18"/>
        </w:rPr>
        <w:t xml:space="preserve"> is recommended for admission into the </w:t>
      </w:r>
      <w:proofErr w:type="spellStart"/>
      <w:r w:rsidR="0058243D" w:rsidRPr="00C26EB7">
        <w:rPr>
          <w:rFonts w:ascii="Arial" w:hAnsi="Arial"/>
          <w:sz w:val="18"/>
          <w:szCs w:val="18"/>
        </w:rPr>
        <w:t>MAcc</w:t>
      </w:r>
      <w:proofErr w:type="spellEnd"/>
      <w:r w:rsidR="0058243D" w:rsidRPr="00C26EB7">
        <w:rPr>
          <w:rFonts w:ascii="Arial" w:hAnsi="Arial"/>
          <w:sz w:val="18"/>
          <w:szCs w:val="18"/>
        </w:rPr>
        <w:t xml:space="preserve"> program</w:t>
      </w:r>
      <w:r w:rsidR="00D96C76" w:rsidRPr="00C26EB7">
        <w:rPr>
          <w:rFonts w:ascii="Arial" w:hAnsi="Arial"/>
          <w:sz w:val="18"/>
          <w:szCs w:val="18"/>
        </w:rPr>
        <w:t>.</w:t>
      </w:r>
      <w:r w:rsidR="0067439D">
        <w:rPr>
          <w:rFonts w:ascii="Arial" w:hAnsi="Arial"/>
          <w:sz w:val="18"/>
          <w:szCs w:val="18"/>
        </w:rPr>
        <w:t xml:space="preserve"> </w:t>
      </w:r>
      <w:r w:rsidR="00D96C76" w:rsidRPr="00C26EB7">
        <w:rPr>
          <w:rFonts w:ascii="Arial" w:hAnsi="Arial"/>
          <w:sz w:val="18"/>
          <w:szCs w:val="18"/>
        </w:rPr>
        <w:t xml:space="preserve">Application deadlines for the </w:t>
      </w:r>
      <w:proofErr w:type="spellStart"/>
      <w:r w:rsidR="00D96C76" w:rsidRPr="00C26EB7">
        <w:rPr>
          <w:rFonts w:ascii="Arial" w:hAnsi="Arial"/>
          <w:sz w:val="18"/>
          <w:szCs w:val="18"/>
        </w:rPr>
        <w:t>MAcc</w:t>
      </w:r>
      <w:proofErr w:type="spellEnd"/>
      <w:r w:rsidR="00D96C76" w:rsidRPr="00C26EB7">
        <w:rPr>
          <w:rFonts w:ascii="Arial" w:hAnsi="Arial"/>
          <w:sz w:val="18"/>
          <w:szCs w:val="18"/>
        </w:rPr>
        <w:t xml:space="preserve"> program are June 1</w:t>
      </w:r>
      <w:r w:rsidR="00D96C76" w:rsidRPr="00C26EB7">
        <w:rPr>
          <w:rFonts w:ascii="Arial" w:hAnsi="Arial"/>
          <w:sz w:val="18"/>
          <w:szCs w:val="18"/>
          <w:vertAlign w:val="superscript"/>
        </w:rPr>
        <w:t>st</w:t>
      </w:r>
      <w:r w:rsidR="00D96C76" w:rsidRPr="00C26EB7">
        <w:rPr>
          <w:rFonts w:ascii="Arial" w:hAnsi="Arial"/>
          <w:sz w:val="18"/>
          <w:szCs w:val="18"/>
        </w:rPr>
        <w:t xml:space="preserve"> for fall admission; October 1</w:t>
      </w:r>
      <w:r w:rsidR="00D96C76" w:rsidRPr="00C26EB7">
        <w:rPr>
          <w:rFonts w:ascii="Arial" w:hAnsi="Arial"/>
          <w:sz w:val="18"/>
          <w:szCs w:val="18"/>
          <w:vertAlign w:val="superscript"/>
        </w:rPr>
        <w:t>st</w:t>
      </w:r>
      <w:r w:rsidR="00D96C76" w:rsidRPr="00C26EB7">
        <w:rPr>
          <w:rFonts w:ascii="Arial" w:hAnsi="Arial"/>
          <w:sz w:val="18"/>
          <w:szCs w:val="18"/>
        </w:rPr>
        <w:t xml:space="preserve"> for spring </w:t>
      </w:r>
      <w:r w:rsidR="00383B97" w:rsidRPr="00C26EB7">
        <w:rPr>
          <w:rFonts w:ascii="Arial" w:hAnsi="Arial"/>
          <w:sz w:val="18"/>
          <w:szCs w:val="18"/>
        </w:rPr>
        <w:t>admission</w:t>
      </w:r>
      <w:r w:rsidR="00D96C76" w:rsidRPr="00C26EB7">
        <w:rPr>
          <w:rFonts w:ascii="Arial" w:hAnsi="Arial"/>
          <w:sz w:val="18"/>
          <w:szCs w:val="18"/>
        </w:rPr>
        <w:t>; and March 1</w:t>
      </w:r>
      <w:r w:rsidR="00D96C76" w:rsidRPr="00C26EB7">
        <w:rPr>
          <w:rFonts w:ascii="Arial" w:hAnsi="Arial"/>
          <w:sz w:val="18"/>
          <w:szCs w:val="18"/>
          <w:vertAlign w:val="superscript"/>
        </w:rPr>
        <w:t>st</w:t>
      </w:r>
      <w:r w:rsidR="00D96C76" w:rsidRPr="00C26EB7">
        <w:rPr>
          <w:rFonts w:ascii="Arial" w:hAnsi="Arial"/>
          <w:sz w:val="18"/>
          <w:szCs w:val="18"/>
        </w:rPr>
        <w:t xml:space="preserve"> for summer </w:t>
      </w:r>
      <w:r w:rsidR="00383B97" w:rsidRPr="00C26EB7">
        <w:rPr>
          <w:rFonts w:ascii="Arial" w:hAnsi="Arial"/>
          <w:sz w:val="18"/>
          <w:szCs w:val="18"/>
        </w:rPr>
        <w:t>admission</w:t>
      </w:r>
      <w:r w:rsidR="00D96C76" w:rsidRPr="00C26EB7">
        <w:rPr>
          <w:rFonts w:ascii="Arial" w:hAnsi="Arial"/>
          <w:sz w:val="18"/>
          <w:szCs w:val="18"/>
        </w:rPr>
        <w:t xml:space="preserve">. </w:t>
      </w:r>
      <w:r w:rsidR="00716896">
        <w:rPr>
          <w:rFonts w:ascii="Arial" w:hAnsi="Arial"/>
          <w:sz w:val="18"/>
          <w:szCs w:val="18"/>
        </w:rPr>
        <w:t>A</w:t>
      </w:r>
      <w:r w:rsidR="00704F26" w:rsidRPr="00C26EB7">
        <w:rPr>
          <w:rFonts w:ascii="Arial" w:hAnsi="Arial"/>
          <w:sz w:val="18"/>
          <w:szCs w:val="18"/>
        </w:rPr>
        <w:t xml:space="preserve">pplicants interested </w:t>
      </w:r>
      <w:r w:rsidR="00990F92" w:rsidRPr="00C26EB7">
        <w:rPr>
          <w:rFonts w:ascii="Arial" w:hAnsi="Arial"/>
          <w:sz w:val="18"/>
          <w:szCs w:val="18"/>
        </w:rPr>
        <w:t xml:space="preserve">in </w:t>
      </w:r>
      <w:r w:rsidR="00D96C76" w:rsidRPr="00C26EB7">
        <w:rPr>
          <w:rFonts w:ascii="Arial" w:hAnsi="Arial"/>
          <w:sz w:val="18"/>
          <w:szCs w:val="18"/>
        </w:rPr>
        <w:t xml:space="preserve">assistantships and fellowships should apply by </w:t>
      </w:r>
      <w:r w:rsidR="006B2B3C">
        <w:rPr>
          <w:rFonts w:ascii="Arial" w:hAnsi="Arial"/>
          <w:sz w:val="18"/>
          <w:szCs w:val="18"/>
        </w:rPr>
        <w:t>January 15</w:t>
      </w:r>
      <w:r w:rsidR="006B2B3C" w:rsidRPr="006B2B3C">
        <w:rPr>
          <w:rFonts w:ascii="Arial" w:hAnsi="Arial"/>
          <w:sz w:val="18"/>
          <w:szCs w:val="18"/>
          <w:vertAlign w:val="superscript"/>
        </w:rPr>
        <w:t>th</w:t>
      </w:r>
      <w:r w:rsidR="006B2B3C">
        <w:rPr>
          <w:rFonts w:ascii="Arial" w:hAnsi="Arial"/>
          <w:sz w:val="18"/>
          <w:szCs w:val="18"/>
        </w:rPr>
        <w:t xml:space="preserve"> </w:t>
      </w:r>
      <w:r w:rsidR="00704F26" w:rsidRPr="00C26EB7">
        <w:rPr>
          <w:rFonts w:ascii="Arial" w:hAnsi="Arial"/>
          <w:sz w:val="18"/>
          <w:szCs w:val="18"/>
        </w:rPr>
        <w:t>.</w:t>
      </w:r>
      <w:r w:rsidR="00B14C0E" w:rsidRPr="00C26EB7">
        <w:rPr>
          <w:rFonts w:ascii="Arial" w:hAnsi="Arial"/>
          <w:sz w:val="18"/>
          <w:szCs w:val="18"/>
        </w:rPr>
        <w:t xml:space="preserve"> </w:t>
      </w:r>
      <w:r w:rsidR="00990F92" w:rsidRPr="00C26EB7">
        <w:rPr>
          <w:rFonts w:ascii="Arial" w:hAnsi="Arial"/>
          <w:sz w:val="18"/>
          <w:szCs w:val="18"/>
        </w:rPr>
        <w:t xml:space="preserve"> </w:t>
      </w:r>
      <w:r w:rsidR="00B14C0E" w:rsidRPr="00C26EB7">
        <w:rPr>
          <w:rFonts w:ascii="Arial" w:hAnsi="Arial"/>
          <w:sz w:val="18"/>
          <w:szCs w:val="18"/>
        </w:rPr>
        <w:t xml:space="preserve">More information </w:t>
      </w:r>
      <w:r w:rsidR="00215F12" w:rsidRPr="00C26EB7">
        <w:rPr>
          <w:rFonts w:ascii="Arial" w:hAnsi="Arial"/>
          <w:sz w:val="18"/>
          <w:szCs w:val="18"/>
        </w:rPr>
        <w:t>is available</w:t>
      </w:r>
      <w:r w:rsidR="00B14C0E" w:rsidRPr="00C26EB7">
        <w:rPr>
          <w:rFonts w:ascii="Arial" w:hAnsi="Arial"/>
          <w:sz w:val="18"/>
          <w:szCs w:val="18"/>
        </w:rPr>
        <w:t xml:space="preserve"> at </w:t>
      </w:r>
      <w:hyperlink r:id="rId12" w:history="1">
        <w:r w:rsidR="00990F92" w:rsidRPr="00C26EB7">
          <w:rPr>
            <w:rStyle w:val="Hyperlink"/>
            <w:rFonts w:ascii="Arial" w:hAnsi="Arial"/>
            <w:sz w:val="18"/>
            <w:szCs w:val="18"/>
          </w:rPr>
          <w:t>http://business.fsu.edu/macc</w:t>
        </w:r>
      </w:hyperlink>
      <w:r w:rsidR="00B14C0E" w:rsidRPr="00C26EB7">
        <w:rPr>
          <w:rFonts w:ascii="Arial" w:hAnsi="Arial"/>
          <w:sz w:val="18"/>
          <w:szCs w:val="18"/>
        </w:rPr>
        <w:t>.</w:t>
      </w:r>
      <w:r w:rsidR="00DC7046">
        <w:rPr>
          <w:rFonts w:ascii="Arial" w:hAnsi="Arial"/>
          <w:sz w:val="18"/>
          <w:szCs w:val="18"/>
        </w:rPr>
        <w:t xml:space="preserve"> Students who have a 3.2 upper-division GPA, a 3.2 upper-division accounting GPA based on at least four upper-level accounting courses, and a 3.4 overall GPA </w:t>
      </w:r>
      <w:r w:rsidR="008D49EA">
        <w:rPr>
          <w:rFonts w:ascii="Arial" w:hAnsi="Arial"/>
          <w:sz w:val="18"/>
          <w:szCs w:val="18"/>
        </w:rPr>
        <w:t>are eligible</w:t>
      </w:r>
      <w:r w:rsidR="00DC7046">
        <w:rPr>
          <w:rFonts w:ascii="Arial" w:hAnsi="Arial"/>
          <w:sz w:val="18"/>
          <w:szCs w:val="18"/>
        </w:rPr>
        <w:t xml:space="preserve"> for the BS/</w:t>
      </w:r>
      <w:proofErr w:type="spellStart"/>
      <w:r w:rsidR="00DC7046">
        <w:rPr>
          <w:rFonts w:ascii="Arial" w:hAnsi="Arial"/>
          <w:sz w:val="18"/>
          <w:szCs w:val="18"/>
        </w:rPr>
        <w:t>MAcc</w:t>
      </w:r>
      <w:proofErr w:type="spellEnd"/>
      <w:r w:rsidR="00DC7046">
        <w:rPr>
          <w:rFonts w:ascii="Arial" w:hAnsi="Arial"/>
          <w:sz w:val="18"/>
          <w:szCs w:val="18"/>
        </w:rPr>
        <w:t xml:space="preserve"> p</w:t>
      </w:r>
      <w:r w:rsidR="002A3638">
        <w:rPr>
          <w:rFonts w:ascii="Arial" w:hAnsi="Arial"/>
          <w:sz w:val="18"/>
          <w:szCs w:val="18"/>
        </w:rPr>
        <w:t>athway</w:t>
      </w:r>
      <w:r w:rsidR="00DC7046">
        <w:rPr>
          <w:rFonts w:ascii="Arial" w:hAnsi="Arial"/>
          <w:sz w:val="18"/>
          <w:szCs w:val="18"/>
        </w:rPr>
        <w:t xml:space="preserve">, More information is available at </w:t>
      </w:r>
      <w:hyperlink r:id="rId13" w:history="1">
        <w:r w:rsidR="0067439D" w:rsidRPr="00D05DF8">
          <w:rPr>
            <w:rStyle w:val="Hyperlink"/>
            <w:rFonts w:ascii="Arial" w:hAnsi="Arial"/>
            <w:sz w:val="18"/>
            <w:szCs w:val="18"/>
          </w:rPr>
          <w:t>https://business.fsu.edu/combined-pathways</w:t>
        </w:r>
      </w:hyperlink>
      <w:r w:rsidR="0067439D">
        <w:rPr>
          <w:rFonts w:ascii="Arial" w:hAnsi="Arial"/>
          <w:sz w:val="18"/>
          <w:szCs w:val="18"/>
        </w:rPr>
        <w:t xml:space="preserve">. </w:t>
      </w:r>
    </w:p>
    <w:p w14:paraId="2C5C2CF5" w14:textId="77777777" w:rsidR="00D96C76" w:rsidRDefault="00D96C76" w:rsidP="00D96C76">
      <w:pPr>
        <w:rPr>
          <w:rFonts w:ascii="Arial" w:hAnsi="Arial"/>
          <w:sz w:val="18"/>
          <w:szCs w:val="18"/>
        </w:rPr>
      </w:pPr>
    </w:p>
    <w:p w14:paraId="107A852A" w14:textId="02F494D6" w:rsidR="00981682" w:rsidRPr="00981682" w:rsidRDefault="00043149" w:rsidP="00981682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S</w:t>
      </w:r>
      <w:r w:rsidR="00AC638F" w:rsidRPr="00B14C0E">
        <w:rPr>
          <w:rFonts w:ascii="Arial" w:hAnsi="Arial"/>
          <w:sz w:val="18"/>
          <w:szCs w:val="18"/>
        </w:rPr>
        <w:t xml:space="preserve">tudents who do not pursue the </w:t>
      </w:r>
      <w:r w:rsidR="00215F12">
        <w:rPr>
          <w:rFonts w:ascii="Arial" w:hAnsi="Arial"/>
          <w:sz w:val="18"/>
          <w:szCs w:val="18"/>
        </w:rPr>
        <w:t>Master of Accounting</w:t>
      </w:r>
      <w:r w:rsidR="00AC638F" w:rsidRPr="00B14C0E">
        <w:rPr>
          <w:rFonts w:ascii="Arial" w:hAnsi="Arial"/>
          <w:sz w:val="18"/>
          <w:szCs w:val="18"/>
        </w:rPr>
        <w:t xml:space="preserve"> program</w:t>
      </w:r>
      <w:r w:rsidR="002A3638" w:rsidRPr="003A5757">
        <w:rPr>
          <w:rFonts w:ascii="Arial" w:hAnsi="Arial" w:cs="Arial"/>
          <w:sz w:val="18"/>
          <w:szCs w:val="18"/>
        </w:rPr>
        <w:t xml:space="preserve"> </w:t>
      </w:r>
      <w:r w:rsidR="002A3638" w:rsidRPr="003A5757">
        <w:rPr>
          <w:rFonts w:ascii="Arial" w:hAnsi="Arial"/>
          <w:sz w:val="18"/>
          <w:szCs w:val="18"/>
        </w:rPr>
        <w:t>are</w:t>
      </w:r>
      <w:r w:rsidR="002D1DDA">
        <w:rPr>
          <w:rFonts w:ascii="Arial" w:hAnsi="Arial"/>
          <w:sz w:val="18"/>
          <w:szCs w:val="18"/>
        </w:rPr>
        <w:t xml:space="preserve"> encouraged to contact the</w:t>
      </w:r>
      <w:r w:rsidR="008D49EA">
        <w:rPr>
          <w:rFonts w:ascii="Arial" w:hAnsi="Arial"/>
          <w:sz w:val="18"/>
          <w:szCs w:val="18"/>
        </w:rPr>
        <w:t xml:space="preserve"> National Association of State Boards of Accountancy (NASBA) or the</w:t>
      </w:r>
      <w:r w:rsidR="002D1DDA">
        <w:rPr>
          <w:rFonts w:ascii="Arial" w:hAnsi="Arial"/>
          <w:sz w:val="18"/>
          <w:szCs w:val="18"/>
        </w:rPr>
        <w:t xml:space="preserve"> board of accountancy for the jurisdiction they plan to become licensed in to determine </w:t>
      </w:r>
      <w:r w:rsidR="008D49EA">
        <w:rPr>
          <w:rFonts w:ascii="Arial" w:hAnsi="Arial"/>
          <w:sz w:val="18"/>
          <w:szCs w:val="18"/>
        </w:rPr>
        <w:t>the best</w:t>
      </w:r>
      <w:r w:rsidR="002D1DDA">
        <w:rPr>
          <w:rFonts w:ascii="Arial" w:hAnsi="Arial"/>
          <w:sz w:val="18"/>
          <w:szCs w:val="18"/>
        </w:rPr>
        <w:t xml:space="preserve"> path to meet educational requirements</w:t>
      </w:r>
      <w:r w:rsidR="008D49EA">
        <w:rPr>
          <w:rFonts w:ascii="Arial" w:hAnsi="Arial"/>
          <w:sz w:val="18"/>
          <w:szCs w:val="18"/>
        </w:rPr>
        <w:t xml:space="preserve"> for licensure</w:t>
      </w:r>
      <w:r w:rsidR="008D49EA">
        <w:rPr>
          <w:rFonts w:ascii="Arial" w:hAnsi="Arial" w:cs="Arial"/>
          <w:sz w:val="18"/>
          <w:szCs w:val="18"/>
        </w:rPr>
        <w:t>.</w:t>
      </w:r>
    </w:p>
    <w:p w14:paraId="2C5C2CF7" w14:textId="77777777" w:rsidR="00B14C0E" w:rsidRPr="00981682" w:rsidRDefault="00B14C0E" w:rsidP="00B14C0E">
      <w:pPr>
        <w:rPr>
          <w:rFonts w:ascii="Arial" w:hAnsi="Arial" w:cs="Arial"/>
          <w:sz w:val="18"/>
          <w:szCs w:val="18"/>
        </w:rPr>
      </w:pPr>
    </w:p>
    <w:p w14:paraId="2C5C2CF8" w14:textId="77777777" w:rsidR="005804F0" w:rsidRPr="00DB6651" w:rsidRDefault="004768D1" w:rsidP="006C14AF">
      <w:pPr>
        <w:numPr>
          <w:ilvl w:val="0"/>
          <w:numId w:val="4"/>
        </w:numPr>
        <w:ind w:right="-900"/>
        <w:rPr>
          <w:rFonts w:ascii="Arial" w:hAnsi="Arial"/>
          <w:sz w:val="18"/>
          <w:szCs w:val="18"/>
        </w:rPr>
      </w:pPr>
      <w:r w:rsidRPr="00DB6651">
        <w:rPr>
          <w:rFonts w:ascii="Arial" w:hAnsi="Arial"/>
          <w:sz w:val="18"/>
          <w:szCs w:val="18"/>
        </w:rPr>
        <w:t xml:space="preserve">For further information regarding the accounting major and scholarships for accounting students, contact the Department of Accounting, RBA 309, </w:t>
      </w:r>
      <w:r w:rsidR="00DE4915" w:rsidRPr="00DB6651">
        <w:rPr>
          <w:rFonts w:ascii="Arial" w:hAnsi="Arial"/>
          <w:sz w:val="18"/>
          <w:szCs w:val="18"/>
        </w:rPr>
        <w:t>850-</w:t>
      </w:r>
      <w:r w:rsidRPr="00DB6651">
        <w:rPr>
          <w:rFonts w:ascii="Arial" w:hAnsi="Arial"/>
          <w:sz w:val="18"/>
          <w:szCs w:val="18"/>
        </w:rPr>
        <w:t>644-2771.</w:t>
      </w:r>
    </w:p>
    <w:sectPr w:rsidR="005804F0" w:rsidRPr="00DB6651" w:rsidSect="006C2FBB">
      <w:pgSz w:w="12240" w:h="15840"/>
      <w:pgMar w:top="810" w:right="144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EC3"/>
    <w:multiLevelType w:val="hybridMultilevel"/>
    <w:tmpl w:val="A3C8C1BE"/>
    <w:lvl w:ilvl="0" w:tplc="0E9CBD4C">
      <w:start w:val="320"/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114F2A3F"/>
    <w:multiLevelType w:val="singleLevel"/>
    <w:tmpl w:val="379EE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3DFB073B"/>
    <w:multiLevelType w:val="multilevel"/>
    <w:tmpl w:val="094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695B48"/>
    <w:multiLevelType w:val="hybridMultilevel"/>
    <w:tmpl w:val="D6B20B7A"/>
    <w:lvl w:ilvl="0" w:tplc="040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15048"/>
    <w:multiLevelType w:val="hybridMultilevel"/>
    <w:tmpl w:val="58CAD79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7F01D6A"/>
    <w:multiLevelType w:val="singleLevel"/>
    <w:tmpl w:val="0409000F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ED628D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83792296">
    <w:abstractNumId w:val="1"/>
  </w:num>
  <w:num w:numId="2" w16cid:durableId="160203408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4890921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44885766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18"/>
          <w:szCs w:val="18"/>
        </w:rPr>
      </w:lvl>
    </w:lvlOverride>
  </w:num>
  <w:num w:numId="5" w16cid:durableId="2047829936">
    <w:abstractNumId w:val="5"/>
  </w:num>
  <w:num w:numId="6" w16cid:durableId="163400149">
    <w:abstractNumId w:val="0"/>
  </w:num>
  <w:num w:numId="7" w16cid:durableId="1787657558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651129603">
    <w:abstractNumId w:val="3"/>
  </w:num>
  <w:num w:numId="9" w16cid:durableId="702486109">
    <w:abstractNumId w:val="2"/>
  </w:num>
  <w:num w:numId="10" w16cid:durableId="72464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NrKwMDe2NLU0NzFR0lEKTi0uzszPAykwrAUAXpseMCwAAAA="/>
  </w:docVars>
  <w:rsids>
    <w:rsidRoot w:val="004E0A86"/>
    <w:rsid w:val="0001303F"/>
    <w:rsid w:val="00017BD3"/>
    <w:rsid w:val="00020161"/>
    <w:rsid w:val="000412A9"/>
    <w:rsid w:val="00043149"/>
    <w:rsid w:val="00056555"/>
    <w:rsid w:val="00075866"/>
    <w:rsid w:val="00075DB8"/>
    <w:rsid w:val="000A6BBC"/>
    <w:rsid w:val="000B220D"/>
    <w:rsid w:val="000D7691"/>
    <w:rsid w:val="000E2775"/>
    <w:rsid w:val="00116239"/>
    <w:rsid w:val="00143C4E"/>
    <w:rsid w:val="00147C69"/>
    <w:rsid w:val="00155332"/>
    <w:rsid w:val="00163715"/>
    <w:rsid w:val="0017353D"/>
    <w:rsid w:val="00186D88"/>
    <w:rsid w:val="001B38AB"/>
    <w:rsid w:val="001C1AF4"/>
    <w:rsid w:val="001E3980"/>
    <w:rsid w:val="001F0F7F"/>
    <w:rsid w:val="00215F12"/>
    <w:rsid w:val="00231CFC"/>
    <w:rsid w:val="00232F02"/>
    <w:rsid w:val="002433D3"/>
    <w:rsid w:val="002479A6"/>
    <w:rsid w:val="00270E85"/>
    <w:rsid w:val="0027143A"/>
    <w:rsid w:val="00290866"/>
    <w:rsid w:val="002A08B2"/>
    <w:rsid w:val="002A1C8D"/>
    <w:rsid w:val="002A3638"/>
    <w:rsid w:val="002B11D4"/>
    <w:rsid w:val="002C3009"/>
    <w:rsid w:val="002D1DDA"/>
    <w:rsid w:val="003024DB"/>
    <w:rsid w:val="0031091A"/>
    <w:rsid w:val="00315C6E"/>
    <w:rsid w:val="00320653"/>
    <w:rsid w:val="003269E8"/>
    <w:rsid w:val="00383B97"/>
    <w:rsid w:val="00395975"/>
    <w:rsid w:val="003A1202"/>
    <w:rsid w:val="003A35E7"/>
    <w:rsid w:val="003A5757"/>
    <w:rsid w:val="003E023B"/>
    <w:rsid w:val="003E2426"/>
    <w:rsid w:val="003E6445"/>
    <w:rsid w:val="004017C2"/>
    <w:rsid w:val="00414215"/>
    <w:rsid w:val="004622C3"/>
    <w:rsid w:val="0046353F"/>
    <w:rsid w:val="0047460A"/>
    <w:rsid w:val="004768D1"/>
    <w:rsid w:val="004B116F"/>
    <w:rsid w:val="004B31E4"/>
    <w:rsid w:val="004C2715"/>
    <w:rsid w:val="004C42DB"/>
    <w:rsid w:val="004C67CD"/>
    <w:rsid w:val="004E0A86"/>
    <w:rsid w:val="004F357B"/>
    <w:rsid w:val="00504D18"/>
    <w:rsid w:val="00507D59"/>
    <w:rsid w:val="005131C5"/>
    <w:rsid w:val="00516405"/>
    <w:rsid w:val="0053124E"/>
    <w:rsid w:val="00553B60"/>
    <w:rsid w:val="005563C3"/>
    <w:rsid w:val="00561155"/>
    <w:rsid w:val="005804F0"/>
    <w:rsid w:val="0058243D"/>
    <w:rsid w:val="005835BF"/>
    <w:rsid w:val="0058526C"/>
    <w:rsid w:val="005C2179"/>
    <w:rsid w:val="005D28DB"/>
    <w:rsid w:val="005D50D2"/>
    <w:rsid w:val="00617430"/>
    <w:rsid w:val="006260B6"/>
    <w:rsid w:val="0062755C"/>
    <w:rsid w:val="0065796C"/>
    <w:rsid w:val="0067439D"/>
    <w:rsid w:val="00681F9E"/>
    <w:rsid w:val="00690366"/>
    <w:rsid w:val="006A731C"/>
    <w:rsid w:val="006B1CE7"/>
    <w:rsid w:val="006B2B3C"/>
    <w:rsid w:val="006C14AF"/>
    <w:rsid w:val="006C2FBB"/>
    <w:rsid w:val="007032D9"/>
    <w:rsid w:val="00704F26"/>
    <w:rsid w:val="00716896"/>
    <w:rsid w:val="00732324"/>
    <w:rsid w:val="007415FD"/>
    <w:rsid w:val="00762A6A"/>
    <w:rsid w:val="00766A04"/>
    <w:rsid w:val="00776242"/>
    <w:rsid w:val="0077645E"/>
    <w:rsid w:val="0078584A"/>
    <w:rsid w:val="007A0B21"/>
    <w:rsid w:val="007A7E54"/>
    <w:rsid w:val="007B101E"/>
    <w:rsid w:val="007B458F"/>
    <w:rsid w:val="007B76F0"/>
    <w:rsid w:val="007D5A5F"/>
    <w:rsid w:val="007E6970"/>
    <w:rsid w:val="00804EDD"/>
    <w:rsid w:val="00810083"/>
    <w:rsid w:val="008325D5"/>
    <w:rsid w:val="00837671"/>
    <w:rsid w:val="00844B08"/>
    <w:rsid w:val="008720CD"/>
    <w:rsid w:val="00882302"/>
    <w:rsid w:val="00883150"/>
    <w:rsid w:val="008B1B57"/>
    <w:rsid w:val="008C0030"/>
    <w:rsid w:val="008C08B4"/>
    <w:rsid w:val="008C51FA"/>
    <w:rsid w:val="008C7018"/>
    <w:rsid w:val="008D1623"/>
    <w:rsid w:val="008D49EA"/>
    <w:rsid w:val="008E3ACB"/>
    <w:rsid w:val="0091260C"/>
    <w:rsid w:val="00917FA6"/>
    <w:rsid w:val="009303F8"/>
    <w:rsid w:val="00930E37"/>
    <w:rsid w:val="009412AB"/>
    <w:rsid w:val="00946D9F"/>
    <w:rsid w:val="0094724D"/>
    <w:rsid w:val="00947F73"/>
    <w:rsid w:val="00955983"/>
    <w:rsid w:val="009703B1"/>
    <w:rsid w:val="00970EA6"/>
    <w:rsid w:val="00981682"/>
    <w:rsid w:val="00983C50"/>
    <w:rsid w:val="009869F2"/>
    <w:rsid w:val="00990F92"/>
    <w:rsid w:val="009946B5"/>
    <w:rsid w:val="009A4AA6"/>
    <w:rsid w:val="009C0B7B"/>
    <w:rsid w:val="009D23F5"/>
    <w:rsid w:val="00A13590"/>
    <w:rsid w:val="00A13F88"/>
    <w:rsid w:val="00A247DF"/>
    <w:rsid w:val="00A36F89"/>
    <w:rsid w:val="00A475EB"/>
    <w:rsid w:val="00A62BE8"/>
    <w:rsid w:val="00AB285A"/>
    <w:rsid w:val="00AC638F"/>
    <w:rsid w:val="00AC7D65"/>
    <w:rsid w:val="00AD7DB0"/>
    <w:rsid w:val="00AE0243"/>
    <w:rsid w:val="00AE12DE"/>
    <w:rsid w:val="00AE5216"/>
    <w:rsid w:val="00AE75F6"/>
    <w:rsid w:val="00AF1532"/>
    <w:rsid w:val="00B05520"/>
    <w:rsid w:val="00B1220C"/>
    <w:rsid w:val="00B14C0E"/>
    <w:rsid w:val="00B22A96"/>
    <w:rsid w:val="00B2784B"/>
    <w:rsid w:val="00B442CE"/>
    <w:rsid w:val="00B52223"/>
    <w:rsid w:val="00B732AD"/>
    <w:rsid w:val="00B75026"/>
    <w:rsid w:val="00B8157F"/>
    <w:rsid w:val="00B84F93"/>
    <w:rsid w:val="00B86222"/>
    <w:rsid w:val="00B95EC5"/>
    <w:rsid w:val="00BA51A5"/>
    <w:rsid w:val="00BB0045"/>
    <w:rsid w:val="00BB1C32"/>
    <w:rsid w:val="00BB6491"/>
    <w:rsid w:val="00BE63F0"/>
    <w:rsid w:val="00C00ABA"/>
    <w:rsid w:val="00C2274A"/>
    <w:rsid w:val="00C26EB7"/>
    <w:rsid w:val="00C401F4"/>
    <w:rsid w:val="00C50A4C"/>
    <w:rsid w:val="00C639C2"/>
    <w:rsid w:val="00C76820"/>
    <w:rsid w:val="00C85FC8"/>
    <w:rsid w:val="00CD0F01"/>
    <w:rsid w:val="00CD3C1F"/>
    <w:rsid w:val="00D1658F"/>
    <w:rsid w:val="00D237BF"/>
    <w:rsid w:val="00D461FD"/>
    <w:rsid w:val="00D56738"/>
    <w:rsid w:val="00D57788"/>
    <w:rsid w:val="00D61804"/>
    <w:rsid w:val="00D61841"/>
    <w:rsid w:val="00D85A52"/>
    <w:rsid w:val="00D96C76"/>
    <w:rsid w:val="00DA0609"/>
    <w:rsid w:val="00DB6651"/>
    <w:rsid w:val="00DB6F6B"/>
    <w:rsid w:val="00DC1858"/>
    <w:rsid w:val="00DC6371"/>
    <w:rsid w:val="00DC7046"/>
    <w:rsid w:val="00DD3B3E"/>
    <w:rsid w:val="00DE4915"/>
    <w:rsid w:val="00E03ACC"/>
    <w:rsid w:val="00E12D6C"/>
    <w:rsid w:val="00E35130"/>
    <w:rsid w:val="00E76FA4"/>
    <w:rsid w:val="00E84BCC"/>
    <w:rsid w:val="00E852C1"/>
    <w:rsid w:val="00E94AB2"/>
    <w:rsid w:val="00EA47C3"/>
    <w:rsid w:val="00EF2DE9"/>
    <w:rsid w:val="00EF559B"/>
    <w:rsid w:val="00F155C9"/>
    <w:rsid w:val="00F25EE5"/>
    <w:rsid w:val="00F37E25"/>
    <w:rsid w:val="00F4602B"/>
    <w:rsid w:val="00F47D97"/>
    <w:rsid w:val="00F56492"/>
    <w:rsid w:val="00F8173E"/>
    <w:rsid w:val="00F91176"/>
    <w:rsid w:val="00F92A39"/>
    <w:rsid w:val="00F93C0B"/>
    <w:rsid w:val="00F94756"/>
    <w:rsid w:val="00FB384F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5C2BE1"/>
  <w15:chartTrackingRefBased/>
  <w15:docId w15:val="{82DABDEB-6D48-41BA-A378-15B53FB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2C1"/>
    <w:rPr>
      <w:rFonts w:ascii="Tahoma" w:hAnsi="Tahoma" w:cs="Tahoma"/>
      <w:sz w:val="16"/>
      <w:szCs w:val="16"/>
    </w:rPr>
  </w:style>
  <w:style w:type="character" w:styleId="Hyperlink">
    <w:name w:val="Hyperlink"/>
    <w:rsid w:val="00247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D96C76"/>
    <w:rPr>
      <w:b/>
      <w:bCs/>
    </w:rPr>
  </w:style>
  <w:style w:type="paragraph" w:styleId="ListParagraph">
    <w:name w:val="List Paragraph"/>
    <w:basedOn w:val="Normal"/>
    <w:uiPriority w:val="34"/>
    <w:qFormat/>
    <w:rsid w:val="005804F0"/>
    <w:pPr>
      <w:ind w:left="720"/>
    </w:pPr>
  </w:style>
  <w:style w:type="character" w:styleId="FollowedHyperlink">
    <w:name w:val="FollowedHyperlink"/>
    <w:basedOn w:val="DefaultParagraphFont"/>
    <w:rsid w:val="00990F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iness.fsu.edu/combined-pathway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usiness.fsu.edu/mac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ingdept@business.fs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business.fsu.edu/undergrad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gprog@business.f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1669CD44D474CB5B8772635B33539" ma:contentTypeVersion="17" ma:contentTypeDescription="Create a new document." ma:contentTypeScope="" ma:versionID="b2e20dd77b374baa30f7d4e168912422">
  <xsd:schema xmlns:xsd="http://www.w3.org/2001/XMLSchema" xmlns:xs="http://www.w3.org/2001/XMLSchema" xmlns:p="http://schemas.microsoft.com/office/2006/metadata/properties" xmlns:ns2="816e7739-9a79-46e5-8c77-a29bfd75a7e6" xmlns:ns3="73da005d-9c4e-4da1-b619-5f5420916c3f" targetNamespace="http://schemas.microsoft.com/office/2006/metadata/properties" ma:root="true" ma:fieldsID="750468fc8a526036ef88fe014b9e3c4b" ns2:_="" ns3:_="">
    <xsd:import namespace="816e7739-9a79-46e5-8c77-a29bfd75a7e6"/>
    <xsd:import namespace="73da005d-9c4e-4da1-b619-5f5420916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e7739-9a79-46e5-8c77-a29bfd75a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005d-9c4e-4da1-b619-5f5420916c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2295105-c8d5-4b3c-9d98-741384dde595}" ma:internalName="TaxCatchAll" ma:showField="CatchAllData" ma:web="73da005d-9c4e-4da1-b619-5f5420916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e7739-9a79-46e5-8c77-a29bfd75a7e6">
      <Terms xmlns="http://schemas.microsoft.com/office/infopath/2007/PartnerControls"/>
    </lcf76f155ced4ddcb4097134ff3c332f>
    <TaxCatchAll xmlns="73da005d-9c4e-4da1-b619-5f5420916c3f" xsi:nil="true"/>
  </documentManagement>
</p:properties>
</file>

<file path=customXml/itemProps1.xml><?xml version="1.0" encoding="utf-8"?>
<ds:datastoreItem xmlns:ds="http://schemas.openxmlformats.org/officeDocument/2006/customXml" ds:itemID="{B6758BC5-5029-430C-90F2-A9CD22879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e7739-9a79-46e5-8c77-a29bfd75a7e6"/>
    <ds:schemaRef ds:uri="73da005d-9c4e-4da1-b619-5f5420916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8A727-CD35-49D3-A5D1-B6913488C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50D1F-883C-4AEA-8E5C-FF6445A91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1DF57F-5F75-4837-9048-8E6D22AF3435}">
  <ds:schemaRefs>
    <ds:schemaRef ds:uri="http://schemas.microsoft.com/office/2006/metadata/properties"/>
    <ds:schemaRef ds:uri="http://schemas.microsoft.com/office/infopath/2007/PartnerControls"/>
    <ds:schemaRef ds:uri="816e7739-9a79-46e5-8c77-a29bfd75a7e6"/>
    <ds:schemaRef ds:uri="73da005d-9c4e-4da1-b619-5f5420916c3f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FINANCE MAJORS</vt:lpstr>
    </vt:vector>
  </TitlesOfParts>
  <Company>College of Business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FINANCE MAJORS</dc:title>
  <dc:subject/>
  <dc:creator>College of Business</dc:creator>
  <cp:keywords/>
  <cp:lastModifiedBy>Amanda Hammond</cp:lastModifiedBy>
  <cp:revision>16</cp:revision>
  <cp:lastPrinted>2025-07-10T18:32:00Z</cp:lastPrinted>
  <dcterms:created xsi:type="dcterms:W3CDTF">2025-07-10T18:30:00Z</dcterms:created>
  <dcterms:modified xsi:type="dcterms:W3CDTF">2025-08-13T19:18:00Z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0x010100C0D1669CD44D474CB5B8772635B33539</vt:lpwstr>
  </property>
  <property fmtid="{D5CDD505-2E9C-101B-9397-08002B2CF9AE}" pid="3" name="Order">
    <vt:r8>3568800</vt:r8>
  </property>
  <property fmtid="{D5CDD505-2E9C-101B-9397-08002B2CF9AE}" pid="4" name="MediaServiceImageTags">
    <vt:lpwstr/>
  </property>
</Properties>
</file>